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7A3C1">
      <w:pPr>
        <w:pStyle w:val="18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-427990</wp:posOffset>
            </wp:positionV>
            <wp:extent cx="640080" cy="619125"/>
            <wp:effectExtent l="0" t="0" r="7620" b="9525"/>
            <wp:wrapNone/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</w:t>
      </w:r>
      <w:r>
        <w:br w:type="textWrapping"/>
      </w:r>
    </w:p>
    <w:p w14:paraId="19F1D71E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MINISTÉRIO DA EDUCAÇÃO</w:t>
      </w:r>
    </w:p>
    <w:p w14:paraId="6DD64F9F">
      <w:pPr>
        <w:pStyle w:val="2"/>
        <w:spacing w:before="0"/>
        <w:jc w:val="center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UNIVERSIDADE FEDERAL FLUMINENSE</w:t>
      </w:r>
    </w:p>
    <w:p w14:paraId="51B969A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PRO REITORIA DE ADMINISTRAÇÃO</w:t>
      </w:r>
    </w:p>
    <w:p w14:paraId="511795F8">
      <w:pPr>
        <w:pStyle w:val="55"/>
        <w:rPr>
          <w:rFonts w:asciiTheme="minorHAnsi" w:hAnsiTheme="minorHAnsi"/>
          <w:b/>
        </w:rPr>
      </w:pPr>
    </w:p>
    <w:p w14:paraId="10E1249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PREGÃO ELETRÔNICO Nº 90.</w:t>
      </w:r>
      <w:r>
        <w:rPr>
          <w:rFonts w:hint="default" w:asciiTheme="minorHAnsi" w:hAnsiTheme="minorHAnsi" w:cstheme="minorHAnsi"/>
          <w:b/>
          <w:sz w:val="24"/>
          <w:szCs w:val="24"/>
          <w:lang w:val="pt-BR"/>
        </w:rPr>
        <w:t>029</w:t>
      </w:r>
      <w:bookmarkStart w:id="1" w:name="_GoBack"/>
      <w:bookmarkEnd w:id="1"/>
      <w:r>
        <w:rPr>
          <w:rFonts w:asciiTheme="minorHAnsi" w:hAnsiTheme="minorHAnsi" w:cstheme="minorHAnsi"/>
          <w:b/>
          <w:sz w:val="24"/>
          <w:szCs w:val="24"/>
        </w:rPr>
        <w:t>/2026</w:t>
      </w:r>
    </w:p>
    <w:p w14:paraId="28445725">
      <w:pPr>
        <w:pStyle w:val="55"/>
        <w:rPr>
          <w:rFonts w:asciiTheme="minorHAnsi" w:hAnsiTheme="minorHAnsi"/>
          <w:b/>
        </w:rPr>
      </w:pPr>
    </w:p>
    <w:p w14:paraId="60CFEE12">
      <w:pPr>
        <w:pStyle w:val="6"/>
        <w:rPr>
          <w:rFonts w:cs="Arial" w:asciiTheme="minorHAnsi" w:hAnsiTheme="minorHAnsi"/>
          <w:sz w:val="24"/>
          <w:szCs w:val="24"/>
          <w:u w:val="none"/>
        </w:rPr>
      </w:pPr>
      <w:r>
        <w:rPr>
          <w:rFonts w:cs="Arial" w:asciiTheme="minorHAnsi" w:hAnsiTheme="minorHAnsi"/>
          <w:sz w:val="24"/>
          <w:szCs w:val="24"/>
          <w:u w:val="none"/>
        </w:rPr>
        <w:t>ANEXO  X DO EDITAL</w:t>
      </w:r>
    </w:p>
    <w:p w14:paraId="23ED1B42">
      <w:pPr>
        <w:rPr>
          <w:lang w:val="pt-PT"/>
        </w:rPr>
      </w:pPr>
    </w:p>
    <w:p w14:paraId="5A3B69F9">
      <w:pPr>
        <w:rPr>
          <w:lang w:val="pt-PT"/>
        </w:rPr>
      </w:pPr>
    </w:p>
    <w:p w14:paraId="345D5BBC">
      <w:pPr>
        <w:pStyle w:val="6"/>
        <w:rPr>
          <w:rFonts w:cs="Arial" w:asciiTheme="minorHAnsi" w:hAnsiTheme="minorHAnsi"/>
          <w:sz w:val="16"/>
          <w:szCs w:val="16"/>
        </w:rPr>
      </w:pPr>
    </w:p>
    <w:p w14:paraId="7C9512CF">
      <w:pPr>
        <w:pStyle w:val="6"/>
        <w:rPr>
          <w:rFonts w:cs="Arial" w:asciiTheme="minorHAnsi" w:hAnsiTheme="minorHAnsi"/>
          <w:sz w:val="20"/>
        </w:rPr>
      </w:pPr>
      <w:r>
        <w:rPr>
          <w:rFonts w:cs="Arial" w:asciiTheme="minorHAnsi" w:hAnsiTheme="minorHAnsi"/>
          <w:sz w:val="20"/>
        </w:rPr>
        <w:t>MEMÓRIA DE CÁLCULO DA PLANILHA DE CUSTO E FORMAÇÃO DE PREÇO</w:t>
      </w:r>
    </w:p>
    <w:p w14:paraId="7DFF9564">
      <w:pPr>
        <w:rPr>
          <w:rFonts w:cs="Arial" w:asciiTheme="minorHAnsi" w:hAnsiTheme="minorHAnsi"/>
          <w:sz w:val="16"/>
          <w:szCs w:val="16"/>
          <w:lang w:val="pt-PT"/>
        </w:rPr>
      </w:pPr>
    </w:p>
    <w:p w14:paraId="511329D1">
      <w:pPr>
        <w:rPr>
          <w:rFonts w:cs="Arial" w:asciiTheme="minorHAnsi" w:hAnsiTheme="minorHAnsi"/>
          <w:b/>
          <w:sz w:val="16"/>
          <w:szCs w:val="16"/>
          <w:u w:val="single"/>
          <w:lang w:val="pt-PT"/>
        </w:rPr>
      </w:pPr>
    </w:p>
    <w:p w14:paraId="673826F1">
      <w:pPr>
        <w:pStyle w:val="61"/>
        <w:rPr>
          <w:rFonts w:ascii="Calibri" w:hAnsi="Calibri" w:cs="Arial"/>
          <w:b/>
          <w:i/>
          <w:sz w:val="22"/>
          <w:szCs w:val="22"/>
        </w:rPr>
      </w:pPr>
      <w:r>
        <w:rPr>
          <w:rFonts w:ascii="Calibri" w:hAnsi="Calibri" w:cs="Arial"/>
          <w:b/>
          <w:i/>
          <w:sz w:val="22"/>
          <w:szCs w:val="22"/>
        </w:rPr>
        <w:t>A empresa deverá declarar em qual REGIME DE TRIBUTAÇÃO se enquadra, e não poderá se beneficiar da condição de optante pelo Simples Nacional, salvo as exceções previstas no § 5º-C do art. 18 da Lei Complementar nº 123, de 14 de dezembro de 2006; pois se caso vencedora será obrigatória à exclusão desse regime, logo os custos atribuídos a esta prestação de serviço, com cessão de mão de obra deverão estar corretamente previstos.</w:t>
      </w:r>
    </w:p>
    <w:p w14:paraId="703ADA98">
      <w:pPr>
        <w:pStyle w:val="55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1CE0DA67">
      <w:pPr>
        <w:pStyle w:val="55"/>
        <w:jc w:val="both"/>
        <w:rPr>
          <w:rFonts w:ascii="Calibri" w:hAnsi="Calibri"/>
          <w:b/>
          <w:sz w:val="22"/>
          <w:szCs w:val="22"/>
          <w:u w:val="single"/>
        </w:rPr>
      </w:pPr>
    </w:p>
    <w:p w14:paraId="79276B85">
      <w:pPr>
        <w:rPr>
          <w:rFonts w:ascii="Calibri" w:hAnsi="Calibri" w:cs="Arial"/>
          <w:b/>
          <w:sz w:val="22"/>
          <w:szCs w:val="22"/>
          <w:u w:val="single"/>
          <w:lang w:val="pt-PT"/>
        </w:rPr>
      </w:pPr>
      <w:r>
        <w:rPr>
          <w:rFonts w:ascii="Calibri" w:hAnsi="Calibri" w:cs="Arial"/>
          <w:b/>
          <w:sz w:val="22"/>
          <w:szCs w:val="22"/>
          <w:u w:val="single"/>
          <w:lang w:val="pt-PT"/>
        </w:rPr>
        <w:t>Módulo 1 – Composição da Remuneração</w:t>
      </w:r>
    </w:p>
    <w:p w14:paraId="7854BFCE">
      <w:pPr>
        <w:rPr>
          <w:rFonts w:ascii="Calibri" w:hAnsi="Calibri" w:cs="Arial"/>
          <w:sz w:val="22"/>
          <w:szCs w:val="22"/>
        </w:rPr>
      </w:pPr>
    </w:p>
    <w:p w14:paraId="664F30A7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A) Salário Base </w:t>
      </w:r>
    </w:p>
    <w:p w14:paraId="070A6963">
      <w:pPr>
        <w:pStyle w:val="55"/>
        <w:jc w:val="both"/>
        <w:rPr>
          <w:rStyle w:val="36"/>
          <w:rFonts w:ascii="Calibri" w:hAnsi="Calibri"/>
          <w:sz w:val="22"/>
          <w:szCs w:val="22"/>
        </w:rPr>
      </w:pPr>
    </w:p>
    <w:p w14:paraId="3579B1F7">
      <w:pPr>
        <w:pStyle w:val="55"/>
        <w:jc w:val="both"/>
        <w:rPr>
          <w:rStyle w:val="36"/>
          <w:rFonts w:ascii="Calibri" w:hAnsi="Calibri"/>
          <w:sz w:val="22"/>
          <w:szCs w:val="22"/>
        </w:rPr>
      </w:pPr>
      <w:r>
        <w:rPr>
          <w:rStyle w:val="36"/>
          <w:rFonts w:ascii="Calibri" w:hAnsi="Calibri"/>
          <w:sz w:val="22"/>
          <w:szCs w:val="22"/>
        </w:rPr>
        <w:t xml:space="preserve">A empresa deverá indicar qual seu enquadramento sindical, sendo a elaboração de sua proposta de acordo com a convenção coletiva do sindicato relacionado à sua atividade preponderante (Arts. 570, 577 e 581, §2º da CLT, Art. 8º, II, CF e Acórdão TCU 1097/2019, Plenário). Os valores dos salários e benefícios dos profissionais previstos neste Edital foram considerados de acordo com o estabelecido </w:t>
      </w:r>
      <w:r>
        <w:rPr>
          <w:rStyle w:val="36"/>
          <w:rFonts w:ascii="Calibri" w:hAnsi="Calibri"/>
          <w:b/>
          <w:bCs/>
          <w:sz w:val="22"/>
          <w:szCs w:val="22"/>
        </w:rPr>
        <w:t>SINDICATO DOS TRABALHADORES NAS EMPRESAS DE REFEIÇÃO COLETIVAS REF. RÁPIDAS E AFINSDO ESTADO DO RIO DE JANEIRO</w:t>
      </w:r>
      <w:r>
        <w:rPr>
          <w:rStyle w:val="36"/>
          <w:rFonts w:ascii="Calibri" w:hAnsi="Calibri"/>
          <w:sz w:val="22"/>
          <w:szCs w:val="22"/>
        </w:rPr>
        <w:t xml:space="preserve">, por meio da Convenção Coletiva de Trabalho 2025/2027, registrada sob o nº </w:t>
      </w:r>
      <w:r>
        <w:rPr>
          <w:rStyle w:val="36"/>
          <w:rFonts w:ascii="Calibri" w:hAnsi="Calibri"/>
          <w:b/>
          <w:sz w:val="22"/>
          <w:szCs w:val="22"/>
        </w:rPr>
        <w:t>RJ003145/2025</w:t>
      </w:r>
      <w:r>
        <w:rPr>
          <w:rStyle w:val="36"/>
          <w:rFonts w:ascii="Calibri" w:hAnsi="Calibri"/>
          <w:sz w:val="22"/>
          <w:szCs w:val="22"/>
        </w:rPr>
        <w:t>.</w:t>
      </w:r>
    </w:p>
    <w:p w14:paraId="18AD10A6">
      <w:pPr>
        <w:pStyle w:val="55"/>
        <w:jc w:val="both"/>
        <w:rPr>
          <w:rStyle w:val="36"/>
          <w:rFonts w:ascii="Calibri" w:hAnsi="Calibri"/>
          <w:sz w:val="22"/>
          <w:szCs w:val="22"/>
        </w:rPr>
      </w:pPr>
    </w:p>
    <w:p w14:paraId="42646175">
      <w:pPr>
        <w:tabs>
          <w:tab w:val="left" w:pos="2552"/>
        </w:tabs>
        <w:spacing w:before="120" w:after="120" w:line="276" w:lineRule="auto"/>
        <w:ind w:right="-15"/>
        <w:jc w:val="both"/>
        <w:rPr>
          <w:rFonts w:cs="Arial"/>
          <w:b/>
          <w:bCs/>
          <w:iCs/>
          <w:color w:val="FF0000"/>
          <w:lang w:eastAsia="en-US"/>
        </w:rPr>
      </w:pPr>
      <w:r>
        <w:rPr>
          <w:rFonts w:asciiTheme="minorHAnsi" w:hAnsiTheme="minorHAnsi" w:cstheme="minorHAnsi"/>
          <w:b/>
          <w:bCs/>
          <w:iCs/>
          <w:color w:val="FF0000"/>
          <w:sz w:val="22"/>
          <w:szCs w:val="22"/>
          <w:lang w:eastAsia="en-US"/>
        </w:rPr>
        <w:t xml:space="preserve">O(s) sindicato(s) indicado(s) nos subitens acima não são de utilização obrigatória pelos licitantes (Acórdão TCU nº 369/2012), mas sempre se exigirá o cumprimento dos </w:t>
      </w:r>
      <w:r>
        <w:rPr>
          <w:rFonts w:asciiTheme="minorHAnsi" w:hAnsiTheme="minorHAnsi" w:cstheme="minorHAnsi"/>
          <w:b/>
          <w:bCs/>
          <w:iCs/>
          <w:color w:val="FF0000"/>
          <w:sz w:val="22"/>
          <w:szCs w:val="22"/>
        </w:rPr>
        <w:t>acordos, dissídios ou</w:t>
      </w:r>
      <w:r>
        <w:rPr>
          <w:rFonts w:asciiTheme="minorHAnsi" w:hAnsiTheme="minorHAnsi" w:cstheme="minorHAnsi"/>
          <w:b/>
          <w:bCs/>
          <w:iCs/>
          <w:color w:val="FF0000"/>
          <w:sz w:val="22"/>
          <w:szCs w:val="22"/>
          <w:lang w:eastAsia="en-US"/>
        </w:rPr>
        <w:t xml:space="preserve"> convenções coletivas adotados por cada licitante/contratante.</w:t>
      </w:r>
      <w:r>
        <w:rPr>
          <w:rFonts w:cs="Arial"/>
          <w:b/>
          <w:bCs/>
          <w:iCs/>
          <w:color w:val="FF0000"/>
          <w:lang w:eastAsia="en-US"/>
        </w:rPr>
        <w:t xml:space="preserve"> </w:t>
      </w:r>
    </w:p>
    <w:p w14:paraId="5823EBB2">
      <w:pPr>
        <w:tabs>
          <w:tab w:val="left" w:pos="2552"/>
        </w:tabs>
        <w:spacing w:before="120" w:after="120" w:line="276" w:lineRule="auto"/>
        <w:ind w:right="-15"/>
        <w:jc w:val="both"/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</w:pPr>
      <w:r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  <w:t>Considerando o previsto na IN 176/2024 e a IN SEGES/MGI 147/2026, para esta licitação, os custos mínimos relevantes serão os valores registrados na planilha para o salário base + alimentação + Reembolso Creche (R$526,64).  Porém, considerando que a CCT RJ003145/2025, em sua Cláusula 18ª estabelece um valor mais benéfico ao trabalhador no valor de R$774,40 para filhos até 36 meses de vida, e considerando que trata-se de uma rubrica estimada, será mantido o valor da CCT, e em caso de crianças acima de 36 meses e abaixo de 72 meses, será reembolsado o valor estabelecido na IN 176/2024.</w:t>
      </w:r>
    </w:p>
    <w:p w14:paraId="7515EEF1">
      <w:pPr>
        <w:tabs>
          <w:tab w:val="left" w:pos="2552"/>
        </w:tabs>
        <w:spacing w:before="120" w:after="120" w:line="276" w:lineRule="auto"/>
        <w:ind w:right="-15"/>
        <w:jc w:val="both"/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</w:pPr>
      <w:r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  <w:t xml:space="preserve">Considerando esta contratação em 1 item, definiu-se a seguinte base de cálculo, que em caso insuficiente quando da execução do Contrato, poderá ser apostilado, mediante comprovação dos benefícios. </w:t>
      </w:r>
    </w:p>
    <w:p w14:paraId="78DB3B99">
      <w:pPr>
        <w:tabs>
          <w:tab w:val="left" w:pos="2552"/>
        </w:tabs>
        <w:spacing w:before="120" w:after="120" w:line="276" w:lineRule="auto"/>
        <w:ind w:right="-15"/>
        <w:jc w:val="both"/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</w:pPr>
      <w:r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  <w:t>Item 1: 29 trabalhadores (aproximadamente 20% do total de postos).</w:t>
      </w:r>
    </w:p>
    <w:p w14:paraId="36339DA4">
      <w:pPr>
        <w:tabs>
          <w:tab w:val="left" w:pos="2552"/>
        </w:tabs>
        <w:spacing w:before="120" w:after="120" w:line="276" w:lineRule="auto"/>
        <w:ind w:right="-15"/>
        <w:jc w:val="both"/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</w:pPr>
      <w:r>
        <w:rPr>
          <w:rFonts w:asciiTheme="minorHAnsi" w:hAnsiTheme="minorHAnsi" w:cstheme="minorHAnsi"/>
          <w:iCs/>
          <w:color w:val="FF0000"/>
          <w:sz w:val="22"/>
          <w:szCs w:val="22"/>
          <w:lang w:eastAsia="en-US"/>
        </w:rPr>
        <w:t xml:space="preserve">Custos Mínimos Relevantes que não poderão ser alterados pela Licitante: Valor do Salário, Auxílio Alimentação, Vale Transporte, Auxílio Creche e Amparo Social Familiar, Benefício e Cidadania, Telessaude e Clube de Vantagens. </w:t>
      </w:r>
    </w:p>
    <w:p w14:paraId="1FFBA557">
      <w:pPr>
        <w:pStyle w:val="55"/>
        <w:jc w:val="both"/>
        <w:rPr>
          <w:rStyle w:val="36"/>
          <w:rFonts w:ascii="Calibri" w:hAnsi="Calibri"/>
          <w:bCs/>
          <w:sz w:val="22"/>
          <w:szCs w:val="22"/>
        </w:rPr>
      </w:pPr>
      <w:r>
        <w:rPr>
          <w:rStyle w:val="36"/>
          <w:rFonts w:ascii="Calibri" w:hAnsi="Calibri"/>
          <w:sz w:val="22"/>
          <w:szCs w:val="22"/>
        </w:rPr>
        <w:t>Observação: Conforme CCTs Abaixo</w:t>
      </w:r>
      <w:r>
        <w:rPr>
          <w:rStyle w:val="36"/>
          <w:rFonts w:ascii="Calibri" w:hAnsi="Calibri"/>
          <w:b/>
          <w:sz w:val="22"/>
          <w:szCs w:val="22"/>
        </w:rPr>
        <w:t xml:space="preserve">, </w:t>
      </w:r>
      <w:r>
        <w:rPr>
          <w:rStyle w:val="36"/>
          <w:rFonts w:ascii="Calibri" w:hAnsi="Calibri"/>
          <w:bCs/>
          <w:sz w:val="22"/>
          <w:szCs w:val="22"/>
        </w:rPr>
        <w:t>o salário dos profissionais será:</w:t>
      </w:r>
    </w:p>
    <w:p w14:paraId="564AD79A">
      <w:pPr>
        <w:pStyle w:val="55"/>
        <w:jc w:val="both"/>
        <w:rPr>
          <w:rStyle w:val="36"/>
          <w:rFonts w:ascii="Calibri" w:hAnsi="Calibri"/>
          <w:bCs/>
          <w:sz w:val="22"/>
          <w:szCs w:val="22"/>
        </w:rPr>
      </w:pPr>
    </w:p>
    <w:tbl>
      <w:tblPr>
        <w:tblStyle w:val="8"/>
        <w:tblW w:w="8318" w:type="dxa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5"/>
        <w:gridCol w:w="3394"/>
        <w:gridCol w:w="1560"/>
        <w:gridCol w:w="1559"/>
        <w:gridCol w:w="1240"/>
      </w:tblGrid>
      <w:tr w14:paraId="4BE90C1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0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B4C6E7"/>
            <w:vAlign w:val="center"/>
          </w:tcPr>
          <w:p w14:paraId="0237A0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33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4C6E7"/>
            <w:vAlign w:val="center"/>
          </w:tcPr>
          <w:p w14:paraId="2B1E677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Descrição/Especificação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4C6E7"/>
            <w:vAlign w:val="center"/>
          </w:tcPr>
          <w:p w14:paraId="48746D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Quantidade de Pessoal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4C6E7"/>
            <w:vAlign w:val="center"/>
          </w:tcPr>
          <w:p w14:paraId="359E1D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CCT  RJ003145/2025</w:t>
            </w:r>
          </w:p>
        </w:tc>
        <w:tc>
          <w:tcPr>
            <w:tcW w:w="12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B4C6E7"/>
            <w:vAlign w:val="center"/>
          </w:tcPr>
          <w:p w14:paraId="65781C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Média</w:t>
            </w:r>
          </w:p>
        </w:tc>
      </w:tr>
      <w:tr w14:paraId="1CB077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0FE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55C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Almoxarife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A77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53B999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R$ 2.156,00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5EEBF2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R$ 2.156,00</w:t>
            </w:r>
          </w:p>
        </w:tc>
      </w:tr>
      <w:tr w14:paraId="3432F1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CA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E5B6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Auxiliar de Almoxarife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49D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6F40F0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R$ 1.997,60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42438A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R$ 1.997,60</w:t>
            </w:r>
          </w:p>
        </w:tc>
      </w:tr>
      <w:tr w14:paraId="60F168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53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315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Supervisor de Restaurante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7A0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1266B17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R$ 2.622,40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4BA701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R$ 2.622,40</w:t>
            </w:r>
          </w:p>
        </w:tc>
      </w:tr>
      <w:tr w14:paraId="635469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DC6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E602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Magarefe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B9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1474BE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R$ 2.156,00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5DAA24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R$ 2.156,00</w:t>
            </w:r>
          </w:p>
        </w:tc>
      </w:tr>
      <w:tr w14:paraId="1E5A86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32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4360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Auxiliar de Magarefe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96EC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26DC9A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R$ 1.997,60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1A2527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R$ 1.997,60</w:t>
            </w:r>
          </w:p>
        </w:tc>
      </w:tr>
      <w:tr w14:paraId="77B8A02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436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2695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Cozinheiro Industrial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BD9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4FF930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R$ 2.156,00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09CF7B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R$ 2.156,00</w:t>
            </w:r>
          </w:p>
        </w:tc>
      </w:tr>
      <w:tr w14:paraId="11197F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46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0A12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Auxiliar de Alimentação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31E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56F3F9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R$ 1.962,40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0F10C3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R$ 1.962,40</w:t>
            </w:r>
          </w:p>
        </w:tc>
      </w:tr>
      <w:tr w14:paraId="058B63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E6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259F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Auxiliar de Serviços Manutenção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3363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62D2FC9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R$ 1.962,40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2509D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R$ 1.962,40</w:t>
            </w:r>
          </w:p>
        </w:tc>
      </w:tr>
      <w:tr w14:paraId="65EBBC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394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76FB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Operador de Caixa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4EBF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060C1B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R$ 1.962,40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508A55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R$ 1.962,40</w:t>
            </w:r>
          </w:p>
        </w:tc>
      </w:tr>
      <w:tr w14:paraId="6F066A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5" w:hRule="atLeast"/>
        </w:trPr>
        <w:tc>
          <w:tcPr>
            <w:tcW w:w="56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65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3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vAlign w:val="bottom"/>
          </w:tcPr>
          <w:p w14:paraId="316ABB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Suprimentos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4FF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FFFFCC" w:fill="FFFFFF"/>
            <w:noWrap/>
            <w:vAlign w:val="center"/>
          </w:tcPr>
          <w:p w14:paraId="48AA38D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R$ 2.156,00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FFFFCC" w:fill="FFFFFF"/>
            <w:noWrap/>
            <w:vAlign w:val="center"/>
          </w:tcPr>
          <w:p w14:paraId="0D757B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R$ 2.156,00</w:t>
            </w:r>
          </w:p>
        </w:tc>
      </w:tr>
      <w:tr w14:paraId="0D138A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5" w:hRule="atLeast"/>
        </w:trPr>
        <w:tc>
          <w:tcPr>
            <w:tcW w:w="395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41F04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4F7FC1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vAlign w:val="bottom"/>
          </w:tcPr>
          <w:p w14:paraId="088EEC0E">
            <w:pPr>
              <w:jc w:val="center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14:paraId="71CAD32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89E84C7">
      <w:pPr>
        <w:pStyle w:val="55"/>
        <w:jc w:val="both"/>
        <w:rPr>
          <w:rStyle w:val="36"/>
          <w:rFonts w:ascii="Calibri" w:hAnsi="Calibri"/>
          <w:bCs/>
          <w:sz w:val="22"/>
          <w:szCs w:val="22"/>
          <w:highlight w:val="yellow"/>
        </w:rPr>
      </w:pPr>
    </w:p>
    <w:p w14:paraId="467C95FB">
      <w:pPr>
        <w:pStyle w:val="55"/>
        <w:jc w:val="both"/>
        <w:rPr>
          <w:rStyle w:val="36"/>
          <w:rFonts w:ascii="Calibri" w:hAnsi="Calibri"/>
          <w:bCs/>
          <w:sz w:val="22"/>
          <w:szCs w:val="22"/>
          <w:highlight w:val="yellow"/>
        </w:rPr>
      </w:pPr>
    </w:p>
    <w:p w14:paraId="7A4714C5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B e C) Adicional de Insalubridade/Periculosidade</w:t>
      </w:r>
    </w:p>
    <w:p w14:paraId="13F4BFB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Poderá ser alvo de reequilíbrio após apresentação de laudo, mediante apresentação de laudo do SESMET das empresas prestadoras de serviço que considere os respectivos locais insalubres.</w:t>
      </w:r>
    </w:p>
    <w:p w14:paraId="2F6C2DA5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641FDC12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D) Adicional Noturno</w:t>
      </w:r>
    </w:p>
    <w:p w14:paraId="354A832B">
      <w:pPr>
        <w:spacing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  <w:sz w:val="22"/>
          <w:szCs w:val="22"/>
        </w:rPr>
        <w:t>Não há previsão de serviços noturnos.</w:t>
      </w:r>
    </w:p>
    <w:p w14:paraId="0696E04B">
      <w:pPr>
        <w:spacing w:line="276" w:lineRule="auto"/>
        <w:jc w:val="both"/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</w:pPr>
      <w:r>
        <w:rPr>
          <w:rStyle w:val="9"/>
          <w:rFonts w:cs="Arial" w:asciiTheme="minorHAnsi" w:hAnsiTheme="minorHAnsi"/>
          <w:color w:val="000000"/>
          <w:sz w:val="22"/>
          <w:szCs w:val="22"/>
          <w:shd w:val="clear" w:color="auto" w:fill="FFFFFF"/>
        </w:rPr>
        <w:t>Nota 1: </w:t>
      </w:r>
      <w:r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  <w:t>O Módulo 1 refere-se ao </w:t>
      </w:r>
      <w:r>
        <w:rPr>
          <w:rStyle w:val="9"/>
          <w:rFonts w:cs="Arial" w:asciiTheme="minorHAnsi" w:hAnsiTheme="minorHAnsi"/>
          <w:color w:val="000000"/>
          <w:sz w:val="22"/>
          <w:szCs w:val="22"/>
          <w:shd w:val="clear" w:color="auto" w:fill="FFFFFF"/>
        </w:rPr>
        <w:t>valor mensal devido ao empregado</w:t>
      </w:r>
      <w:r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  <w:t> pela prestação do serviço no período de 12 meses.</w:t>
      </w:r>
    </w:p>
    <w:p w14:paraId="65273E4A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2D8D7AB2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E) Adicional de hora noturna reduzida</w:t>
      </w:r>
    </w:p>
    <w:p w14:paraId="27A8C207">
      <w:pPr>
        <w:autoSpaceDE w:val="0"/>
        <w:autoSpaceDN w:val="0"/>
        <w:adjustRightInd w:val="0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Não há previsão de adicional noturno. </w:t>
      </w:r>
    </w:p>
    <w:p w14:paraId="10284556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73F8AFF5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1-A) Intrajornada</w:t>
      </w:r>
    </w:p>
    <w:p w14:paraId="2683414B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Não haverá previsão de indenização pelo intervalor de intrajornada.</w:t>
      </w:r>
    </w:p>
    <w:p w14:paraId="315B6C64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D6FAB8F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1-E) Hora Extra 50% - Não há previsão.</w:t>
      </w:r>
    </w:p>
    <w:p w14:paraId="6740C835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10AECB3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Para Jornada de 30 diárias foi elaborado o seguinte cálculo</w:t>
      </w:r>
    </w:p>
    <w:p w14:paraId="00B908C7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Módulo semanal&gt; 30h x 5 = 150</w:t>
      </w:r>
    </w:p>
    <w:p w14:paraId="0F04BEDD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Cálculo do valor da Hora extra: Valor do Salário / 150 horas = X</w:t>
      </w:r>
    </w:p>
    <w:p w14:paraId="4646581A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Hora extra 50%: 50%*X + X = Y</w:t>
      </w:r>
    </w:p>
    <w:p w14:paraId="52E605E4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Cálculo mensal: Y * 20 horas = Z1</w:t>
      </w:r>
    </w:p>
    <w:p w14:paraId="2A80B520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9245A97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1-F) Hora Extra 100% Não há previsão.</w:t>
      </w:r>
    </w:p>
    <w:p w14:paraId="42B432D7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60F2FBC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Para Jornada de 30 diárias foi elaborado o seguinte cálculo</w:t>
      </w:r>
    </w:p>
    <w:p w14:paraId="5FA6F9AA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Módulo semanal&gt; 30h x 5 = 150</w:t>
      </w:r>
    </w:p>
    <w:p w14:paraId="23C4DBB5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Cálculo do valor da Hora extra: Valor do Salário / 150 horas = X</w:t>
      </w:r>
    </w:p>
    <w:p w14:paraId="522D6646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Hora extra 100%: 100%*X + X = Y</w:t>
      </w:r>
    </w:p>
    <w:p w14:paraId="32B97C1F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Cálculo mensal: Y * 10 horas = Z2</w:t>
      </w:r>
    </w:p>
    <w:p w14:paraId="194D6055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BAEBA0D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88788CC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1-G) Reflexo Adicional de Hora Extra no RSR Hora Extra 50% Não há previsão.</w:t>
      </w:r>
    </w:p>
    <w:p w14:paraId="45AAFA29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=Z1*20%</w:t>
      </w:r>
    </w:p>
    <w:p w14:paraId="6EAC801F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78A2560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C11EBB8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1-H) Reflexo Adicional de Hora Extra no RSR Hora Extra 100% Não há previsão.</w:t>
      </w:r>
    </w:p>
    <w:p w14:paraId="0427D736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=Z2*20%</w:t>
      </w:r>
    </w:p>
    <w:p w14:paraId="146C9452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482B880">
      <w:pPr>
        <w:tabs>
          <w:tab w:val="left" w:pos="8130"/>
        </w:tabs>
        <w:ind w:left="720"/>
        <w:jc w:val="both"/>
        <w:rPr>
          <w:rFonts w:asciiTheme="minorHAnsi" w:hAnsiTheme="minorHAnsi" w:cstheme="minorHAnsi"/>
        </w:rPr>
      </w:pPr>
    </w:p>
    <w:p w14:paraId="45ECCE82">
      <w:pPr>
        <w:jc w:val="both"/>
        <w:rPr>
          <w:rFonts w:asciiTheme="minorHAnsi" w:hAnsiTheme="minorHAnsi"/>
          <w:iCs/>
          <w:sz w:val="22"/>
          <w:szCs w:val="22"/>
          <w:u w:val="single"/>
        </w:rPr>
      </w:pPr>
      <w:r>
        <w:rPr>
          <w:rFonts w:asciiTheme="minorHAnsi" w:hAnsiTheme="minorHAnsi"/>
          <w:b/>
          <w:iCs/>
          <w:sz w:val="22"/>
          <w:szCs w:val="22"/>
          <w:u w:val="single"/>
        </w:rPr>
        <w:t>Média Mensal de Dias Trabalhados (40 horas semanais) – 2ª a 6ª Feira</w:t>
      </w:r>
    </w:p>
    <w:p w14:paraId="28BB1A0F">
      <w:pPr>
        <w:pStyle w:val="64"/>
        <w:spacing w:beforeAutospacing="0" w:afterAutospacing="0"/>
        <w:jc w:val="center"/>
        <w:rPr>
          <w:rFonts w:asciiTheme="minorHAnsi" w:hAnsiTheme="minorHAnsi"/>
          <w:iCs/>
          <w:sz w:val="22"/>
          <w:szCs w:val="22"/>
          <w:u w:val="single"/>
        </w:rPr>
      </w:pPr>
    </w:p>
    <w:p w14:paraId="2CE37A35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Considerando 8 feriados nacionais, 01 feriado estadual (data magna), 04 feriados municipais (incluindo sexta-feira da paixão).</w:t>
      </w:r>
    </w:p>
    <w:p w14:paraId="2DD4050B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13 feriados por ano, sendo 10 com data fixa.</w:t>
      </w:r>
    </w:p>
    <w:p w14:paraId="39D23CE8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Sendo assim, considerando 05 dias de trabalho (jornada de 44 horas), temos:</w:t>
      </w:r>
    </w:p>
    <w:p w14:paraId="517755D0">
      <w:pPr>
        <w:rPr>
          <w:rFonts w:asciiTheme="minorHAnsi" w:hAnsiTheme="minorHAnsi"/>
          <w:iCs/>
          <w:sz w:val="22"/>
          <w:szCs w:val="22"/>
        </w:rPr>
      </w:pPr>
    </w:p>
    <w:p w14:paraId="6A23FBFB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(a)</w:t>
      </w:r>
      <w:r>
        <w:rPr>
          <w:rFonts w:asciiTheme="minorHAnsi" w:hAnsiTheme="minorHAnsi"/>
          <w:iCs/>
          <w:sz w:val="22"/>
          <w:szCs w:val="22"/>
        </w:rPr>
        <w:t xml:space="preserve"> 10 x (5/7)    = 7,1429    </w:t>
      </w:r>
    </w:p>
    <w:p w14:paraId="0186A9D9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 xml:space="preserve">              </w:t>
      </w:r>
    </w:p>
    <w:p w14:paraId="262E9F42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 xml:space="preserve">Somando-se aos feriados com data móvel (03):   7,1429 + 3= </w:t>
      </w:r>
      <w:r>
        <w:rPr>
          <w:rFonts w:asciiTheme="minorHAnsi" w:hAnsiTheme="minorHAnsi"/>
          <w:b/>
          <w:iCs/>
          <w:sz w:val="22"/>
          <w:szCs w:val="22"/>
        </w:rPr>
        <w:t>10,1429</w:t>
      </w:r>
      <w:r>
        <w:rPr>
          <w:rFonts w:asciiTheme="minorHAnsi" w:hAnsiTheme="minorHAnsi"/>
          <w:iCs/>
          <w:sz w:val="22"/>
          <w:szCs w:val="22"/>
        </w:rPr>
        <w:t xml:space="preserve"> (por ano)</w:t>
      </w:r>
    </w:p>
    <w:p w14:paraId="65A06E02">
      <w:pPr>
        <w:rPr>
          <w:rFonts w:asciiTheme="minorHAnsi" w:hAnsiTheme="minorHAnsi"/>
          <w:iCs/>
          <w:sz w:val="22"/>
          <w:szCs w:val="22"/>
        </w:rPr>
      </w:pPr>
    </w:p>
    <w:p w14:paraId="56A92F8F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(b)</w:t>
      </w:r>
      <w:r>
        <w:rPr>
          <w:rFonts w:asciiTheme="minorHAnsi" w:hAnsiTheme="minorHAnsi"/>
          <w:iCs/>
          <w:sz w:val="22"/>
          <w:szCs w:val="22"/>
        </w:rPr>
        <w:t xml:space="preserve"> 365:7 = 52,1429   (semanas no ano)</w:t>
      </w:r>
    </w:p>
    <w:p w14:paraId="3392679A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(c)</w:t>
      </w:r>
      <w:r>
        <w:rPr>
          <w:rFonts w:asciiTheme="minorHAnsi" w:hAnsiTheme="minorHAnsi"/>
          <w:iCs/>
          <w:sz w:val="22"/>
          <w:szCs w:val="22"/>
        </w:rPr>
        <w:t xml:space="preserve"> 52,1429 x 2 = 104,2858  (dias de final de semana no ano)</w:t>
      </w:r>
    </w:p>
    <w:p w14:paraId="129D52F1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(d)</w:t>
      </w:r>
      <w:r>
        <w:rPr>
          <w:rFonts w:asciiTheme="minorHAnsi" w:hAnsiTheme="minorHAnsi"/>
          <w:iCs/>
          <w:sz w:val="22"/>
          <w:szCs w:val="22"/>
        </w:rPr>
        <w:t xml:space="preserve"> 104,2858 + 10,1429 = 114,4287 (dias não trabalhados no ano)</w:t>
      </w:r>
    </w:p>
    <w:p w14:paraId="3883B2C8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(e)</w:t>
      </w:r>
      <w:r>
        <w:rPr>
          <w:rFonts w:asciiTheme="minorHAnsi" w:hAnsiTheme="minorHAnsi"/>
          <w:iCs/>
          <w:sz w:val="22"/>
          <w:szCs w:val="22"/>
        </w:rPr>
        <w:t xml:space="preserve"> 365 – 114,4287 = 250,5713 (dias de trabalho no ano)</w:t>
      </w:r>
    </w:p>
    <w:p w14:paraId="2F6E6438">
      <w:pPr>
        <w:rPr>
          <w:rFonts w:asciiTheme="minorHAnsi" w:hAnsiTheme="minorHAnsi"/>
          <w:iCs/>
          <w:color w:val="FF0000"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(f)</w:t>
      </w:r>
      <w:r>
        <w:rPr>
          <w:rFonts w:asciiTheme="minorHAnsi" w:hAnsiTheme="minorHAnsi"/>
          <w:iCs/>
          <w:sz w:val="22"/>
          <w:szCs w:val="22"/>
        </w:rPr>
        <w:t xml:space="preserve"> 250,5713 : 12 = 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20,88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(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MMDT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– Média mensal de dias trabalhados)</w:t>
      </w:r>
    </w:p>
    <w:p w14:paraId="39078FB6">
      <w:pPr>
        <w:rPr>
          <w:rFonts w:asciiTheme="minorHAnsi" w:hAnsiTheme="minorHAnsi"/>
          <w:iCs/>
          <w:color w:val="FF0000"/>
          <w:sz w:val="22"/>
          <w:szCs w:val="22"/>
        </w:rPr>
      </w:pPr>
    </w:p>
    <w:p w14:paraId="72210B03">
      <w:pPr>
        <w:spacing w:line="276" w:lineRule="auto"/>
        <w:jc w:val="both"/>
        <w:rPr>
          <w:rFonts w:ascii="Calibri" w:hAnsi="Calibri" w:cs="Arial"/>
          <w:b/>
        </w:rPr>
      </w:pPr>
    </w:p>
    <w:p w14:paraId="78B06062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337820</wp:posOffset>
                </wp:positionH>
                <wp:positionV relativeFrom="paragraph">
                  <wp:posOffset>1437005</wp:posOffset>
                </wp:positionV>
                <wp:extent cx="222885" cy="635"/>
                <wp:effectExtent l="0" t="0" r="25400" b="19050"/>
                <wp:wrapNone/>
                <wp:docPr id="4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120" cy="0"/>
                        </a:xfrm>
                        <a:prstGeom prst="line">
                          <a:avLst/>
                        </a:prstGeom>
                        <a:ln>
                          <a:rou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9" o:spid="_x0000_s1026" o:spt="20" style="position:absolute;left:0pt;margin-left:26.6pt;margin-top:113.15pt;height:0.05pt;width:17.55pt;z-index:251660288;mso-width-relative:page;mso-height-relative:page;" filled="f" stroked="t" coordsize="21600,21600" o:gfxdata="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y+w8E1gAAAAkBAAAPAAAA&#10;AAAAAAEAIAAAACIAAABkcnMvZG93bnJldi54bWxQSwECFAAUAAAACACHTuJAWGrjwt4BAADaAwAA&#10;DgAAAAAAAAABACAAAAAlAQAAZHJzL2Uyb0RvYy54bWxQSwUGAAAAAAYABgBZAQAAdQ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cs="Arial"/>
          <w:b/>
          <w:sz w:val="22"/>
          <w:szCs w:val="22"/>
          <w:u w:val="single"/>
        </w:rPr>
        <w:t>Modulo 2 – Encargos e Benefícios Anuais, Mensais e Diários</w:t>
      </w:r>
    </w:p>
    <w:p w14:paraId="216E77D4">
      <w:pPr>
        <w:jc w:val="both"/>
        <w:rPr>
          <w:rFonts w:ascii="Calibri" w:hAnsi="Calibri" w:cs="Arial"/>
          <w:b/>
          <w:sz w:val="22"/>
          <w:szCs w:val="22"/>
          <w:u w:val="single"/>
        </w:rPr>
      </w:pPr>
    </w:p>
    <w:p w14:paraId="25F7CCF8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>Submódulo 2.1 – 13º Salário, Férias e Adicional de Férias</w:t>
      </w:r>
    </w:p>
    <w:p w14:paraId="2E7F0E7A">
      <w:pPr>
        <w:jc w:val="both"/>
        <w:rPr>
          <w:rFonts w:ascii="Calibri" w:hAnsi="Calibri" w:cs="Arial"/>
          <w:u w:val="single"/>
          <w:lang w:val="pt-PT"/>
        </w:rPr>
      </w:pPr>
    </w:p>
    <w:tbl>
      <w:tblPr>
        <w:tblStyle w:val="71"/>
        <w:tblW w:w="8917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2240"/>
        <w:gridCol w:w="839"/>
        <w:gridCol w:w="2809"/>
        <w:gridCol w:w="1667"/>
        <w:gridCol w:w="222"/>
      </w:tblGrid>
      <w:tr w14:paraId="52742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40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5B5B23A1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240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5272B200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39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5239407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2809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0F284D9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  <w:tc>
          <w:tcPr>
            <w:tcW w:w="1667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42DF2411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  <w:tc>
          <w:tcPr>
            <w:tcW w:w="222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0577729A">
            <w:pP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289902F5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140" w:type="dxa"/>
            <w:shd w:val="clear" w:color="auto" w:fill="DBE5F1" w:themeFill="accent1" w:themeFillTint="33"/>
          </w:tcPr>
          <w:p w14:paraId="4D795AD7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240" w:type="dxa"/>
            <w:shd w:val="clear" w:color="auto" w:fill="DBE5F1" w:themeFill="accent1" w:themeFillTint="33"/>
          </w:tcPr>
          <w:p w14:paraId="439EB99B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13º Salário</w:t>
            </w:r>
          </w:p>
        </w:tc>
        <w:tc>
          <w:tcPr>
            <w:tcW w:w="839" w:type="dxa"/>
            <w:shd w:val="clear" w:color="auto" w:fill="DBE5F1" w:themeFill="accent1" w:themeFillTint="33"/>
          </w:tcPr>
          <w:p w14:paraId="3B433E6F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8,33</w:t>
            </w:r>
          </w:p>
        </w:tc>
        <w:tc>
          <w:tcPr>
            <w:tcW w:w="2809" w:type="dxa"/>
            <w:shd w:val="clear" w:color="auto" w:fill="DBE5F1" w:themeFill="accent1" w:themeFillTint="33"/>
          </w:tcPr>
          <w:p w14:paraId="1DBEFAF9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DTS = 1/12 x Remuneração</w:t>
            </w:r>
          </w:p>
        </w:tc>
        <w:tc>
          <w:tcPr>
            <w:tcW w:w="1667" w:type="dxa"/>
            <w:shd w:val="clear" w:color="auto" w:fill="DBE5F1" w:themeFill="accent1" w:themeFillTint="33"/>
          </w:tcPr>
          <w:p w14:paraId="42AEE35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Art.7º, VIII, CF/88</w:t>
            </w:r>
          </w:p>
        </w:tc>
        <w:tc>
          <w:tcPr>
            <w:tcW w:w="222" w:type="dxa"/>
            <w:shd w:val="clear" w:color="auto" w:fill="DBE5F1" w:themeFill="accent1" w:themeFillTint="33"/>
          </w:tcPr>
          <w:p w14:paraId="4A548C59"/>
        </w:tc>
      </w:tr>
      <w:tr w14:paraId="7AB7AB79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40" w:type="dxa"/>
          </w:tcPr>
          <w:p w14:paraId="11133591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240" w:type="dxa"/>
          </w:tcPr>
          <w:p w14:paraId="28FAB6DF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Férias e Adicional de Férias</w:t>
            </w:r>
          </w:p>
        </w:tc>
        <w:tc>
          <w:tcPr>
            <w:tcW w:w="839" w:type="dxa"/>
          </w:tcPr>
          <w:p w14:paraId="35464F85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12,10</w:t>
            </w:r>
          </w:p>
        </w:tc>
        <w:tc>
          <w:tcPr>
            <w:tcW w:w="2809" w:type="dxa"/>
          </w:tcPr>
          <w:p w14:paraId="6565783B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FAF = 1/11 x R + 1/3 x 1/11 x R</w:t>
            </w:r>
          </w:p>
        </w:tc>
        <w:tc>
          <w:tcPr>
            <w:tcW w:w="1667" w:type="dxa"/>
          </w:tcPr>
          <w:p w14:paraId="00C26440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% Conta Vinculada- Anexo XII da IN nº 05/2017</w:t>
            </w:r>
          </w:p>
        </w:tc>
        <w:tc>
          <w:tcPr>
            <w:tcW w:w="222" w:type="dxa"/>
          </w:tcPr>
          <w:p w14:paraId="3C8CA58B"/>
        </w:tc>
      </w:tr>
      <w:tr w14:paraId="5B1234FF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380" w:type="dxa"/>
            <w:gridSpan w:val="2"/>
            <w:shd w:val="clear" w:color="auto" w:fill="DBE5F1" w:themeFill="accent1" w:themeFillTint="33"/>
          </w:tcPr>
          <w:p w14:paraId="733A2E6D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839" w:type="dxa"/>
            <w:shd w:val="clear" w:color="auto" w:fill="DBE5F1" w:themeFill="accent1" w:themeFillTint="33"/>
          </w:tcPr>
          <w:p w14:paraId="1A13F3F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20,43</w:t>
            </w:r>
          </w:p>
        </w:tc>
        <w:tc>
          <w:tcPr>
            <w:tcW w:w="2809" w:type="dxa"/>
            <w:shd w:val="clear" w:color="auto" w:fill="DBE5F1" w:themeFill="accent1" w:themeFillTint="33"/>
          </w:tcPr>
          <w:p w14:paraId="0A837259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667" w:type="dxa"/>
            <w:shd w:val="clear" w:color="auto" w:fill="DBE5F1" w:themeFill="accent1" w:themeFillTint="33"/>
          </w:tcPr>
          <w:p w14:paraId="6FC6807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22" w:type="dxa"/>
            <w:shd w:val="clear" w:color="auto" w:fill="DBE5F1" w:themeFill="accent1" w:themeFillTint="33"/>
          </w:tcPr>
          <w:p w14:paraId="2D3B6804"/>
        </w:tc>
      </w:tr>
    </w:tbl>
    <w:p w14:paraId="648808C8">
      <w:pPr>
        <w:jc w:val="center"/>
        <w:rPr>
          <w:rFonts w:ascii="Calibri" w:hAnsi="Calibri" w:cs="Arial"/>
        </w:rPr>
      </w:pPr>
    </w:p>
    <w:p w14:paraId="51C5BAF2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Style w:val="9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1: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Como a planilha de custos e formação de preços é calculada </w:t>
      </w:r>
      <w:r>
        <w:rPr>
          <w:rFonts w:asciiTheme="minorHAnsi" w:hAnsiTheme="minorHAnsi" w:cstheme="minorHAnsi"/>
          <w:color w:val="000000"/>
          <w:sz w:val="22"/>
          <w:szCs w:val="22"/>
          <w:u w:val="single"/>
          <w:shd w:val="clear" w:color="auto" w:fill="FFFFFF"/>
        </w:rPr>
        <w:t>mensalmente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 provisiona-se proporcionalmente 1/12 (um doze avos) dos valores referentes a gratificação natalina, férias e adicional de férias.</w:t>
      </w:r>
    </w:p>
    <w:p w14:paraId="29A1AB09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</w:p>
    <w:p w14:paraId="3A2B38EF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Style w:val="9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2: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O adicional de férias contido no Submódulo 2.1 corresponde a 1/3 (um terço) da remuneração que, por sua vez, é divido por 12 (doze) conforme Nota 1 acima.</w:t>
      </w:r>
    </w:p>
    <w:p w14:paraId="2733F94D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FEFB599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  <w:r>
        <w:rPr>
          <w:rStyle w:val="9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3: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Levando em consideração a vigência contratual prevista no art. 106 da Lei nº 14.133, de 01 de abril de 2021, a rubrica férias tem como objetivo principal suprir a necessidade do pagamento das férias remuneradas ao final do contrato de 12 meses. Esta rubrica, quando da prorrogação contratual, 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torna-se custo não renovável.</w:t>
      </w:r>
    </w:p>
    <w:p w14:paraId="7A167204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</w:p>
    <w:p w14:paraId="4A20EF93">
      <w:pPr>
        <w:jc w:val="both"/>
        <w:rPr>
          <w:rFonts w:ascii="Calibri" w:hAnsi="Calibri" w:cs="Arial"/>
          <w:u w:val="single"/>
          <w:lang w:val="pt-PT"/>
        </w:rPr>
      </w:pPr>
    </w:p>
    <w:p w14:paraId="6C93B86F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 xml:space="preserve">Submódulo 2.2 - Encargos Previdenciários (GPS), Fundo de Garantia por Tempo de Serviço (FGTS) e outras contribuições. </w:t>
      </w:r>
    </w:p>
    <w:p w14:paraId="7A1778F3">
      <w:pPr>
        <w:rPr>
          <w:rFonts w:ascii="Calibri" w:hAnsi="Calibri" w:cs="Arial"/>
        </w:rPr>
      </w:pPr>
    </w:p>
    <w:tbl>
      <w:tblPr>
        <w:tblStyle w:val="71"/>
        <w:tblW w:w="9007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126"/>
        <w:gridCol w:w="850"/>
        <w:gridCol w:w="1842"/>
        <w:gridCol w:w="3344"/>
      </w:tblGrid>
      <w:tr w14:paraId="69DA594F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5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71880194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126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09B17BFC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78EE37B4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2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65DBE754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CALCULO </w:t>
            </w:r>
          </w:p>
        </w:tc>
        <w:tc>
          <w:tcPr>
            <w:tcW w:w="3344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404673EE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</w:tr>
      <w:tr w14:paraId="427C4FB9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45" w:type="dxa"/>
            <w:shd w:val="clear" w:color="auto" w:fill="DBE5F1" w:themeFill="accent1" w:themeFillTint="33"/>
          </w:tcPr>
          <w:p w14:paraId="78A12275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58B3DEE2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INSS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077A7206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7F75158F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49C916CB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Art.22, Inciso I da Lei 8.212/91</w:t>
            </w:r>
          </w:p>
        </w:tc>
      </w:tr>
      <w:tr w14:paraId="28EF1AE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5" w:type="dxa"/>
          </w:tcPr>
          <w:p w14:paraId="360B4E3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6AC45DEF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SALÁRIO EDUCAÇÃO</w:t>
            </w:r>
          </w:p>
        </w:tc>
        <w:tc>
          <w:tcPr>
            <w:tcW w:w="850" w:type="dxa"/>
          </w:tcPr>
          <w:p w14:paraId="0A547E62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1842" w:type="dxa"/>
          </w:tcPr>
          <w:p w14:paraId="66811FEF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02B305B8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Art.3º, Inciso I, Decreto 87.043/82</w:t>
            </w:r>
          </w:p>
        </w:tc>
      </w:tr>
      <w:tr w14:paraId="210A6E22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45" w:type="dxa"/>
            <w:shd w:val="clear" w:color="auto" w:fill="DBE5F1" w:themeFill="accent1" w:themeFillTint="33"/>
          </w:tcPr>
          <w:p w14:paraId="77E87041">
            <w:pPr>
              <w:jc w:val="center"/>
              <w:rPr>
                <w:rFonts w:ascii="Calibri" w:hAnsi="Calibri" w:cs="Arial"/>
                <w:b w:val="0"/>
                <w:bCs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  <w:t>C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2B275803">
            <w:pPr>
              <w:rPr>
                <w:rFonts w:ascii="Calibri" w:hAnsi="Calibri" w:cs="Arial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Seguro de Acidente de Trabalho (SAT)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1F68423C">
            <w:pPr>
              <w:jc w:val="center"/>
              <w:rPr>
                <w:rFonts w:ascii="Calibri" w:hAnsi="Calibri" w:cs="Arial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6,0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7DC1B4C9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  <w:p w14:paraId="0B417DAE">
            <w:pPr>
              <w:rPr>
                <w:rFonts w:asciiTheme="minorHAnsi" w:hAnsiTheme="minorHAnsi"/>
                <w:sz w:val="16"/>
                <w:szCs w:val="16"/>
                <w:highlight w:val="white"/>
              </w:rPr>
            </w:pP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>RAT: 1%, 2% ou </w:t>
            </w:r>
            <w:r>
              <w:rPr>
                <w:rStyle w:val="9"/>
                <w:rFonts w:asciiTheme="minorHAnsi" w:hAnsiTheme="minorHAnsi"/>
                <w:b w:val="0"/>
                <w:sz w:val="16"/>
                <w:szCs w:val="16"/>
                <w:shd w:val="clear" w:color="auto" w:fill="FFFFFF"/>
              </w:rPr>
              <w:t>3%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> x </w:t>
            </w:r>
            <w:r>
              <w:rPr>
                <w:rStyle w:val="40"/>
                <w:rFonts w:asciiTheme="minorHAnsi" w:hAnsiTheme="minorHAnsi"/>
                <w:sz w:val="16"/>
                <w:szCs w:val="16"/>
                <w:shd w:val="clear" w:color="auto" w:fill="FFFFFF"/>
              </w:rPr>
              <w:t>FAP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 xml:space="preserve">: 0,5 a 2% </w:t>
            </w:r>
          </w:p>
          <w:p w14:paraId="6A7F3D06">
            <w:pPr>
              <w:rPr>
                <w:rFonts w:asciiTheme="minorHAnsi" w:hAnsiTheme="minorHAnsi"/>
                <w:sz w:val="16"/>
                <w:szCs w:val="16"/>
                <w:highlight w:val="white"/>
              </w:rPr>
            </w:pPr>
          </w:p>
          <w:p w14:paraId="2E54ED97">
            <w:pPr>
              <w:rPr>
                <w:rFonts w:cs="Arial"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CNAE 7820-5/00</w:t>
            </w:r>
            <w:r>
              <w:rPr>
                <w:rFonts w:asciiTheme="minorHAnsi" w:hAnsiTheme="minorHAnsi" w:cstheme="minorHAnsi"/>
                <w:sz w:val="18"/>
                <w:szCs w:val="18"/>
                <w:shd w:val="clear" w:color="auto" w:fill="FFFFFF"/>
              </w:rPr>
              <w:t xml:space="preserve">= 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 xml:space="preserve">RAT </w:t>
            </w:r>
            <w:r>
              <w:rPr>
                <w:rFonts w:asciiTheme="minorHAnsi" w:hAnsiTheme="minorHAnsi"/>
                <w:b/>
                <w:sz w:val="16"/>
                <w:szCs w:val="16"/>
                <w:shd w:val="clear" w:color="auto" w:fill="FFFFFF"/>
              </w:rPr>
              <w:t>3% x</w:t>
            </w:r>
            <w:r>
              <w:rPr>
                <w:rFonts w:asciiTheme="minorHAnsi" w:hAnsiTheme="minorHAnsi"/>
                <w:b/>
                <w:color w:val="FF0000"/>
                <w:sz w:val="16"/>
                <w:szCs w:val="16"/>
                <w:shd w:val="clear" w:color="auto" w:fill="FFFFFF"/>
              </w:rPr>
              <w:t xml:space="preserve"> 2% FAP 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>(considerando a maior)</w:t>
            </w:r>
            <w:r>
              <w:rPr>
                <w:rFonts w:cs="Arial"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0B2B8E9A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RATxFAT – </w:t>
            </w:r>
            <w:r>
              <w:rPr>
                <w:rStyle w:val="12"/>
                <w:rFonts w:asciiTheme="minorHAnsi" w:hAnsiTheme="minorHAnsi"/>
                <w:sz w:val="18"/>
                <w:szCs w:val="18"/>
                <w:shd w:val="clear" w:color="auto" w:fill="FFFFFF"/>
              </w:rPr>
              <w:t>Fundamentação: art. 22, inciso II, alíneas ‘b’ e ‘c’, da Lei nº 8.212/91.</w:t>
            </w:r>
            <w:r>
              <w:rPr>
                <w:rFonts w:asciiTheme="minorHAnsi" w:hAnsiTheme="minorHAnsi"/>
                <w:sz w:val="18"/>
                <w:szCs w:val="18"/>
                <w:shd w:val="clear" w:color="auto" w:fill="FFFFFF"/>
              </w:rPr>
              <w:t> C</w:t>
            </w:r>
            <w:r>
              <w:rPr>
                <w:rFonts w:ascii="Calibri" w:hAnsi="Calibri" w:cs="Arial"/>
                <w:sz w:val="18"/>
                <w:szCs w:val="18"/>
              </w:rPr>
              <w:t>onforme GFIP do mês anterior à data da proposta – Para estimativa, considerado o maior valor possível.</w:t>
            </w:r>
          </w:p>
        </w:tc>
      </w:tr>
      <w:tr w14:paraId="21ED4A3D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5" w:type="dxa"/>
          </w:tcPr>
          <w:p w14:paraId="282FCD1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2126" w:type="dxa"/>
          </w:tcPr>
          <w:p w14:paraId="4CDAE04A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SESC OU SESI</w:t>
            </w:r>
          </w:p>
        </w:tc>
        <w:tc>
          <w:tcPr>
            <w:tcW w:w="850" w:type="dxa"/>
          </w:tcPr>
          <w:p w14:paraId="03DB4BEE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1842" w:type="dxa"/>
          </w:tcPr>
          <w:p w14:paraId="0EFCA329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0D0C0A21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Art.3º, da lei 8036/90</w:t>
            </w:r>
          </w:p>
        </w:tc>
      </w:tr>
      <w:tr w14:paraId="04E27896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45" w:type="dxa"/>
            <w:shd w:val="clear" w:color="auto" w:fill="DBE5F1" w:themeFill="accent1" w:themeFillTint="33"/>
          </w:tcPr>
          <w:p w14:paraId="2745CD1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3BDAD243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SENAI OU SENAC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54C1306D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126BA882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472C2DB6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Decreto 2.318/86</w:t>
            </w:r>
          </w:p>
        </w:tc>
      </w:tr>
      <w:tr w14:paraId="541EE724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5" w:type="dxa"/>
          </w:tcPr>
          <w:p w14:paraId="7F38C15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</w:t>
            </w:r>
          </w:p>
        </w:tc>
        <w:tc>
          <w:tcPr>
            <w:tcW w:w="2126" w:type="dxa"/>
          </w:tcPr>
          <w:p w14:paraId="3F5D54C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SEBRAE</w:t>
            </w:r>
          </w:p>
        </w:tc>
        <w:tc>
          <w:tcPr>
            <w:tcW w:w="850" w:type="dxa"/>
          </w:tcPr>
          <w:p w14:paraId="7A8A6F5E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1842" w:type="dxa"/>
          </w:tcPr>
          <w:p w14:paraId="2BDF6CE0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35608D71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Art.8º, Lei 8029/90 e Lei 8154/90</w:t>
            </w:r>
          </w:p>
        </w:tc>
      </w:tr>
      <w:tr w14:paraId="1BE7805F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45" w:type="dxa"/>
            <w:shd w:val="clear" w:color="auto" w:fill="DBE5F1" w:themeFill="accent1" w:themeFillTint="33"/>
          </w:tcPr>
          <w:p w14:paraId="409627AB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5B7CB1EC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INCRA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59C28CAA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179B3F1C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39D0D77C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Lei 7787/89 e DL 1146/70</w:t>
            </w:r>
          </w:p>
        </w:tc>
      </w:tr>
      <w:tr w14:paraId="7D1B9BC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45" w:type="dxa"/>
          </w:tcPr>
          <w:p w14:paraId="1B348B90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2126" w:type="dxa"/>
          </w:tcPr>
          <w:p w14:paraId="49DADEFD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FGTS</w:t>
            </w:r>
          </w:p>
        </w:tc>
        <w:tc>
          <w:tcPr>
            <w:tcW w:w="850" w:type="dxa"/>
          </w:tcPr>
          <w:p w14:paraId="6CA97B48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842" w:type="dxa"/>
          </w:tcPr>
          <w:p w14:paraId="3CEB5E29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2C881F0A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Art.15, da Lei 8036/90 e Art.7º III, CF</w:t>
            </w:r>
          </w:p>
        </w:tc>
      </w:tr>
      <w:tr w14:paraId="3C6AB60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45" w:type="dxa"/>
            <w:shd w:val="clear" w:color="auto" w:fill="DBE5F1" w:themeFill="accent1" w:themeFillTint="33"/>
          </w:tcPr>
          <w:p w14:paraId="2734C0CB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2DD503F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6004E002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39,80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3612940E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</w:p>
        </w:tc>
        <w:tc>
          <w:tcPr>
            <w:tcW w:w="3344" w:type="dxa"/>
            <w:shd w:val="clear" w:color="auto" w:fill="DBE5F1" w:themeFill="accent1" w:themeFillTint="33"/>
          </w:tcPr>
          <w:p w14:paraId="01C6A313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64D688EE">
      <w:pPr>
        <w:pStyle w:val="66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Style w:val="9"/>
          <w:rFonts w:asciiTheme="minorHAnsi" w:hAnsiTheme="minorHAnsi" w:cstheme="minorHAnsi"/>
          <w:color w:val="000000"/>
          <w:sz w:val="22"/>
          <w:szCs w:val="22"/>
        </w:rPr>
        <w:t>Nota 1:</w:t>
      </w:r>
      <w:r>
        <w:rPr>
          <w:rFonts w:asciiTheme="minorHAnsi" w:hAnsiTheme="minorHAnsi" w:cstheme="minorHAnsi"/>
          <w:color w:val="000000"/>
          <w:sz w:val="22"/>
          <w:szCs w:val="22"/>
        </w:rPr>
        <w:t> Os percentuais dos encargos previdenciários, do FGTS e demais contribuições são aqueles estabelecidos pela legislação vigente.</w:t>
      </w:r>
    </w:p>
    <w:p w14:paraId="15500780">
      <w:pPr>
        <w:pStyle w:val="66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3A3C88B3">
      <w:pPr>
        <w:pStyle w:val="66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Style w:val="9"/>
          <w:rFonts w:asciiTheme="minorHAnsi" w:hAnsiTheme="minorHAnsi" w:cstheme="minorHAnsi"/>
          <w:color w:val="000000"/>
          <w:sz w:val="22"/>
          <w:szCs w:val="22"/>
        </w:rPr>
        <w:t>Nota 2:</w:t>
      </w:r>
      <w:r>
        <w:rPr>
          <w:rFonts w:asciiTheme="minorHAnsi" w:hAnsiTheme="minorHAnsi" w:cstheme="minorHAnsi"/>
          <w:color w:val="000000"/>
          <w:sz w:val="22"/>
          <w:szCs w:val="22"/>
        </w:rPr>
        <w:t> O SAT a depender do grau de risco do serviço irá variar entre 1%, para risco leve, de 2%, para risco médio, e de 3% de risco grave. No caso, consideraremos as alíquotas de 3%, relativa à Locação de mão de obra temporária (CNAE 7820-5-00).</w:t>
      </w:r>
    </w:p>
    <w:p w14:paraId="3F5514A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E05BAB5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Fonts w:asciiTheme="minorHAnsi" w:hAnsiTheme="minorHAnsi" w:cstheme="minorHAnsi"/>
          <w:sz w:val="22"/>
          <w:szCs w:val="22"/>
        </w:rPr>
        <mc:AlternateContent>
          <mc:Choice Requires="wps">
            <w:drawing>
              <wp:anchor distT="91440" distB="91440" distL="137160" distR="137160" simplePos="0" relativeHeight="251661312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margin">
                  <wp:posOffset>-4182745</wp:posOffset>
                </wp:positionV>
                <wp:extent cx="1802765" cy="2482215"/>
                <wp:effectExtent l="3175" t="0" r="0" b="0"/>
                <wp:wrapSquare wrapText="bothSides"/>
                <wp:docPr id="5" name="AutoFo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02160" cy="24814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B7F0D2">
                            <w:pPr>
                              <w:pStyle w:val="64"/>
                              <w:spacing w:beforeAutospacing="0" w:afterAutospacing="0"/>
                              <w:rPr>
                                <w:rFonts w:cs="Arial" w:asciiTheme="minorHAnsi" w:hAnsiTheme="minorHAnsi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Cs/>
                                <w:sz w:val="20"/>
                                <w:szCs w:val="20"/>
                              </w:rPr>
                              <w:t>Fórmula dias: [(365 / 7) x 5 – 9] /12 = </w:t>
                            </w:r>
                            <w:r>
                              <w:rPr>
                                <w:rStyle w:val="9"/>
                                <w:rFonts w:asciiTheme="minorHAnsi" w:hAnsiTheme="minorHAnsi"/>
                                <w:iCs/>
                                <w:sz w:val="20"/>
                                <w:szCs w:val="20"/>
                              </w:rPr>
                              <w:t>20,98</w:t>
                            </w:r>
                          </w:p>
                          <w:p w14:paraId="369E6847">
                            <w:pPr>
                              <w:pStyle w:val="20"/>
                              <w:spacing w:beforeAutospacing="0" w:afterAutospacing="0"/>
                              <w:rPr>
                                <w:rFonts w:cs="Arial" w:asciiTheme="minorHAnsi" w:hAnsi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Style w:val="12"/>
                                <w:rFonts w:asciiTheme="minorHAnsi" w:hAnsiTheme="minorHAnsi"/>
                                <w:sz w:val="20"/>
                                <w:szCs w:val="20"/>
                                <w:u w:val="single"/>
                              </w:rPr>
                              <w:t>Onde:</w:t>
                            </w:r>
                          </w:p>
                          <w:p w14:paraId="76134A46">
                            <w:pPr>
                              <w:pStyle w:val="65"/>
                              <w:spacing w:beforeAutospacing="0" w:afterAutospacing="0"/>
                              <w:ind w:left="600"/>
                            </w:pP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365 = número de dias no ano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7 = número de dias na semana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5 = número de dias úteis (segunda a sexta)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9 = número de feriados nacionais em dias úteis (média)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12 = número de meses no ano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Forma 2" o:spid="_x0000_s1026" o:spt="2" style="position:absolute;left:0pt;margin-left:-0.05pt;margin-top:-329.35pt;height:195.45pt;width:141.95pt;mso-position-horizontal-relative:margin;mso-position-vertical-relative:margin;mso-wrap-distance-bottom:7.2pt;mso-wrap-distance-left:10.8pt;mso-wrap-distance-right:10.8pt;mso-wrap-distance-top:7.2pt;rotation:5898240f;z-index:251661312;v-text-anchor:middle;mso-width-relative:page;mso-height-relative:page;" fillcolor="#D7E4BD [1302]" filled="t" stroked="f" coordsize="21600,21600" arcsize="0.130324074074074" o:gfxdata="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vbSwDcAAAACwEAAA8AAAAAAAAAAQAgAAAAIgAAAGRycy9kb3ducmV2&#10;LnhtbFBLAQIUABQAAAAIAIdO4kBn10aW+AEAAAEEAAAOAAAAAAAAAAEAIAAAACsBAABkcnMvZTJv&#10;RG9jLnhtbFBLBQYAAAAABgAGAFkBAACV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7B7F0D2">
                      <w:pPr>
                        <w:pStyle w:val="64"/>
                        <w:spacing w:beforeAutospacing="0" w:afterAutospacing="0"/>
                        <w:rPr>
                          <w:rFonts w:cs="Arial" w:asciiTheme="minorHAnsi" w:hAnsiTheme="minorHAnsi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iCs/>
                          <w:sz w:val="20"/>
                          <w:szCs w:val="20"/>
                        </w:rPr>
                        <w:t>Fórmula dias: [(365 / 7) x 5 – 9] /12 = </w:t>
                      </w:r>
                      <w:r>
                        <w:rPr>
                          <w:rStyle w:val="9"/>
                          <w:rFonts w:asciiTheme="minorHAnsi" w:hAnsiTheme="minorHAnsi"/>
                          <w:iCs/>
                          <w:sz w:val="20"/>
                          <w:szCs w:val="20"/>
                        </w:rPr>
                        <w:t>20,98</w:t>
                      </w:r>
                    </w:p>
                    <w:p w14:paraId="369E6847">
                      <w:pPr>
                        <w:pStyle w:val="20"/>
                        <w:spacing w:beforeAutospacing="0" w:afterAutospacing="0"/>
                        <w:rPr>
                          <w:rFonts w:cs="Arial" w:asciiTheme="minorHAnsi" w:hAnsiTheme="minorHAnsi"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Style w:val="12"/>
                          <w:rFonts w:asciiTheme="minorHAnsi" w:hAnsiTheme="minorHAnsi"/>
                          <w:sz w:val="20"/>
                          <w:szCs w:val="20"/>
                          <w:u w:val="single"/>
                        </w:rPr>
                        <w:t>Onde:</w:t>
                      </w:r>
                    </w:p>
                    <w:p w14:paraId="76134A46">
                      <w:pPr>
                        <w:pStyle w:val="65"/>
                        <w:spacing w:beforeAutospacing="0" w:afterAutospacing="0"/>
                        <w:ind w:left="600"/>
                      </w:pP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365 = número de dias no ano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7 = número de dias na semana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5 = número de dias úteis (segunda a sexta)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9 = número de feriados nacionais em dias úteis (média)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12 = número de meses no ano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rStyle w:val="9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3: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Esses percentuais incidem sobre o Módulo 1, o Submódulo 2.1.  </w:t>
      </w:r>
    </w:p>
    <w:p w14:paraId="7CD89781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Obs.: Incidirá apenas na linha A do Submódulo 2.1 pois, na base de cálculo no primeiro ano, consideraremos que, inicialmente, não haverá prorrogação do contrato e segundo a tabela de incidência do 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GPS e FGTS não incide sobre indenizações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1C392355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No segundo ano, no caso de prorrogação, utilizar somente o 1/3 constitucional.</w:t>
      </w:r>
    </w:p>
    <w:p w14:paraId="570D23E8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</w:p>
    <w:p w14:paraId="2E2765AE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  <w:r>
        <w:rPr>
          <w:rFonts w:asciiTheme="minorHAnsi" w:hAnsiTheme="minorHAnsi" w:cstheme="minorHAnsi"/>
          <w:sz w:val="22"/>
          <w:szCs w:val="22"/>
          <w:u w:val="single"/>
          <w:lang w:val="pt-PT"/>
        </w:rPr>
        <w:t>Submódulo 2.3 - Benefícios Mensais e Diários</w:t>
      </w:r>
    </w:p>
    <w:p w14:paraId="38749B5A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</w:p>
    <w:p w14:paraId="6C78AF0C">
      <w:pPr>
        <w:jc w:val="both"/>
        <w:rPr>
          <w:rFonts w:ascii="Calibri" w:hAnsi="Calibri" w:cs="Arial"/>
          <w:b/>
          <w:u w:val="single"/>
          <w:lang w:val="pt-PT"/>
        </w:rPr>
      </w:pPr>
      <w:r>
        <w:rPr>
          <w:rFonts w:ascii="Calibri" w:hAnsi="Calibri" w:cs="Arial"/>
          <w:b/>
          <w:u w:val="single"/>
          <w:lang w:val="pt-PT"/>
        </w:rPr>
        <w:t>Conforme CCT:</w:t>
      </w:r>
    </w:p>
    <w:p w14:paraId="6CE05A04">
      <w:pPr>
        <w:jc w:val="both"/>
        <w:rPr>
          <w:rFonts w:ascii="Calibri" w:hAnsi="Calibri" w:cs="Arial"/>
          <w:b/>
          <w:u w:val="single"/>
          <w:lang w:val="pt-PT"/>
        </w:rPr>
      </w:pPr>
    </w:p>
    <w:tbl>
      <w:tblPr>
        <w:tblStyle w:val="71"/>
        <w:tblW w:w="7938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410"/>
        <w:gridCol w:w="4966"/>
      </w:tblGrid>
      <w:tr w14:paraId="0B0C9BEC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75EA32A0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410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34A528F9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BENEFÍCIOS MENSAIS E DIÁRIOS</w:t>
            </w:r>
          </w:p>
        </w:tc>
        <w:tc>
          <w:tcPr>
            <w:tcW w:w="4966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3F21B43F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VALOR (R$) </w:t>
            </w:r>
          </w:p>
        </w:tc>
      </w:tr>
      <w:tr w14:paraId="0D6B6E5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62" w:type="dxa"/>
            <w:shd w:val="clear" w:color="auto" w:fill="DBE5F1" w:themeFill="accent1" w:themeFillTint="33"/>
          </w:tcPr>
          <w:p w14:paraId="451F899D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65EF31C9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Transporte 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2455DF7C">
            <w:pPr>
              <w:spacing w:line="276" w:lineRule="auto"/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valor do transporte </w:t>
            </w:r>
            <w:r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  <w:t>(9,40)</w:t>
            </w:r>
            <w:r>
              <w:rPr>
                <w:rFonts w:ascii="Calibri" w:hAnsi="Calibri" w:cs="Arial"/>
                <w:sz w:val="18"/>
                <w:szCs w:val="18"/>
              </w:rPr>
              <w:t xml:space="preserve"> x nº de passagens por dia x nº de dias trabalhados – (6% x valor salário base)</w:t>
            </w:r>
          </w:p>
        </w:tc>
      </w:tr>
      <w:tr w14:paraId="0E3CD36D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</w:tcPr>
          <w:p w14:paraId="6D75C93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410" w:type="dxa"/>
          </w:tcPr>
          <w:p w14:paraId="5AB51E3E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Auxílio Refeição/Alimentação</w:t>
            </w:r>
          </w:p>
        </w:tc>
        <w:tc>
          <w:tcPr>
            <w:tcW w:w="4966" w:type="dxa"/>
          </w:tcPr>
          <w:p w14:paraId="715613A7">
            <w:pPr>
              <w:spacing w:line="276" w:lineRule="auto"/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Há previsão de Vale diário no valor de R$31,00 (Cláusula 16ª da CCT menos 1% do valor do salário)</w:t>
            </w:r>
          </w:p>
        </w:tc>
      </w:tr>
      <w:tr w14:paraId="39F6E1E8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shd w:val="clear" w:color="auto" w:fill="DBE5F1" w:themeFill="accent1" w:themeFillTint="33"/>
          </w:tcPr>
          <w:p w14:paraId="4E87A37C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4497B04D">
            <w:pPr>
              <w:rPr>
                <w:rFonts w:ascii="Calibri" w:hAnsi="Calibri" w:cs="Arial"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  <w:lang w:eastAsia="en-US"/>
              </w:rPr>
              <w:t>Clube de Vantagens - Cláusula 48ª da CCT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0A53552A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Cláusula 48ª da CCT =  R$31,30, vedado qualquer desconto do trabalhador</w:t>
            </w:r>
          </w:p>
        </w:tc>
      </w:tr>
      <w:tr w14:paraId="5AF5E257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shd w:val="clear" w:color="auto" w:fill="DBE5F1" w:themeFill="accent1" w:themeFillTint="33"/>
          </w:tcPr>
          <w:p w14:paraId="7BD647E8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669178B4">
            <w:pPr>
              <w:rPr>
                <w:rFonts w:ascii="Calibri" w:hAnsi="Calibri" w:cs="Arial"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  <w:lang w:eastAsia="en-US"/>
              </w:rPr>
              <w:t>Gratificação Natalina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75D0811B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Cláusula 14ª da CCT. R$296,45 – R$32,20/12</w:t>
            </w:r>
          </w:p>
        </w:tc>
      </w:tr>
      <w:tr w14:paraId="45DA4E6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shd w:val="clear" w:color="auto" w:fill="DBE5F1" w:themeFill="accent1" w:themeFillTint="33"/>
          </w:tcPr>
          <w:p w14:paraId="15CD4195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7E59BF6D">
            <w:pPr>
              <w:rPr>
                <w:rFonts w:ascii="Calibri" w:hAnsi="Calibri" w:cs="Arial"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  <w:lang w:eastAsia="en-US"/>
              </w:rPr>
              <w:t>Vale Compras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5411B1AE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Cláusula 15ª da CCCT – R$296,45 – R$34,70</w:t>
            </w:r>
          </w:p>
        </w:tc>
      </w:tr>
      <w:tr w14:paraId="4B2922A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shd w:val="clear" w:color="auto" w:fill="DBE5F1" w:themeFill="accent1" w:themeFillTint="33"/>
          </w:tcPr>
          <w:p w14:paraId="3AF31547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1A840DC7">
            <w:pPr>
              <w:rPr>
                <w:rFonts w:ascii="Calibri" w:hAnsi="Calibri" w:cs="Arial"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  <w:lang w:eastAsia="en-US"/>
              </w:rPr>
              <w:t>Amparo Social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57113B9F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Cláusula 19ª da CCT – R$38,00 – R$15,00</w:t>
            </w:r>
          </w:p>
        </w:tc>
      </w:tr>
      <w:tr w14:paraId="4EA5F1E3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shd w:val="clear" w:color="auto" w:fill="DBE5F1" w:themeFill="accent1" w:themeFillTint="33"/>
          </w:tcPr>
          <w:p w14:paraId="32B7D263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10EE92B">
            <w:pPr>
              <w:rPr>
                <w:rFonts w:ascii="Calibri" w:hAnsi="Calibri" w:cs="Arial"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  <w:lang w:eastAsia="en-US"/>
              </w:rPr>
              <w:t>Benefício e Cidadania – Telesaúde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44140238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Cláusula 20ª da CCT – R$57,00</w:t>
            </w:r>
          </w:p>
        </w:tc>
      </w:tr>
      <w:tr w14:paraId="3AC4B36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shd w:val="clear" w:color="auto" w:fill="DBE5F1" w:themeFill="accent1" w:themeFillTint="33"/>
          </w:tcPr>
          <w:p w14:paraId="49C64F0D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7D393CB">
            <w:pPr>
              <w:rPr>
                <w:rFonts w:ascii="Calibri" w:hAnsi="Calibri" w:cs="Arial"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  <w:lang w:eastAsia="en-US"/>
              </w:rPr>
              <w:t>Benefício Assistencial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6AD9A610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Cláusula 40ª da CCT – R$34,50</w:t>
            </w:r>
          </w:p>
        </w:tc>
      </w:tr>
      <w:tr w14:paraId="6E639026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972" w:type="dxa"/>
            <w:gridSpan w:val="2"/>
            <w:shd w:val="clear" w:color="auto" w:fill="DBE5F1" w:themeFill="accent1" w:themeFillTint="33"/>
          </w:tcPr>
          <w:p w14:paraId="4F455D38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33160250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7C9E00E1">
      <w:pPr>
        <w:jc w:val="both"/>
        <w:rPr>
          <w:rFonts w:ascii="Calibri" w:hAnsi="Calibri" w:cs="Arial"/>
          <w:b/>
          <w:u w:val="single"/>
          <w:lang w:val="pt-PT"/>
        </w:rPr>
      </w:pPr>
    </w:p>
    <w:p w14:paraId="5494BA56">
      <w:pPr>
        <w:jc w:val="both"/>
        <w:rPr>
          <w:rFonts w:ascii="Calibri" w:hAnsi="Calibri" w:cs="Arial"/>
          <w:b/>
          <w:u w:val="single"/>
          <w:lang w:val="pt-PT"/>
        </w:rPr>
      </w:pPr>
    </w:p>
    <w:p w14:paraId="68BD6628">
      <w:pPr>
        <w:shd w:val="clear" w:color="auto" w:fill="FFFFFF"/>
        <w:textAlignment w:val="baseline"/>
        <w:rPr>
          <w:rFonts w:asciiTheme="minorHAnsi" w:hAnsiTheme="minorHAnsi" w:cstheme="minorHAnsi"/>
          <w:color w:val="000000"/>
          <w:lang w:eastAsia="en-US"/>
        </w:rPr>
      </w:pPr>
      <w:r>
        <w:rPr>
          <w:rFonts w:asciiTheme="minorHAnsi" w:hAnsiTheme="minorHAnsi" w:cstheme="minorHAnsi"/>
          <w:b/>
          <w:bCs/>
          <w:color w:val="000000"/>
          <w:lang w:eastAsia="en-US"/>
        </w:rPr>
        <w:t>Nota 1: </w:t>
      </w:r>
      <w:r>
        <w:rPr>
          <w:rFonts w:asciiTheme="minorHAnsi" w:hAnsiTheme="minorHAnsi" w:cstheme="minorHAnsi"/>
          <w:color w:val="000000"/>
          <w:lang w:eastAsia="en-US"/>
        </w:rPr>
        <w:t>Observar a previsão dos benefícios contidos em Acordos, Convenções e Dissídios Coletivos de Trabalho e atentar-se ao disposto no art. 6º da IN 5/2017.</w:t>
      </w:r>
    </w:p>
    <w:p w14:paraId="45050278">
      <w:pPr>
        <w:jc w:val="both"/>
        <w:rPr>
          <w:rFonts w:ascii="Calibri" w:hAnsi="Calibri" w:cs="Arial"/>
          <w:u w:val="single"/>
        </w:rPr>
      </w:pPr>
    </w:p>
    <w:p w14:paraId="6C3C8BAF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A) Transporte</w:t>
      </w:r>
    </w:p>
    <w:p w14:paraId="69C7AD76">
      <w:pPr>
        <w:pStyle w:val="66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a.1. Para efeito da composição do Vale Transporte, foi utilizado como base o valor do Bilhete Único Intermunicipal, isto, pois, o Município do Rio e sua Região Metropolitana possui grande discrepância no que se refere à valores de passagens, à exemplo, caso seja cotado apenas o modal municipal para ônibus, restringiríamos a utilização de metrô, trem, barca ou VLT. Tal experiência tem prejudicado e muito a prestação de serviços atual, gerado atrasos e, por consequência, glosas</w:t>
      </w:r>
    </w:p>
    <w:p w14:paraId="2C566F7F">
      <w:pPr>
        <w:pStyle w:val="66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a.2. Outrossim, cabe destacar também a restrição de empregabilidade no que se refere a região metropolitana, dotada de mão de obra capacitada mas que, por vezes, frustra-se a contratação por divergências no valor da passagem. Deste modo, visando abrir um leque maior de possibilidades no que se refere a mão de obra qualificada, vinculamos o valor diário de passagens ao modal intermunicipal.</w:t>
      </w:r>
    </w:p>
    <w:p w14:paraId="0B0016A2">
      <w:pPr>
        <w:pStyle w:val="66"/>
        <w:spacing w:before="120" w:beforeAutospacing="0" w:after="120" w:afterAutospacing="0"/>
        <w:ind w:left="120" w:right="120"/>
        <w:jc w:val="both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a.3. Para efeito de estimativa de custo e isonomia entre as licitantes, fica estabelecido que as propostas ofereçam, no mínimo, o valor correspondente ao de 02 (duas) tarifas do Bilhete Único Intermunicipal para a passagem diária (R$9,40 por tarifa)</w:t>
      </w:r>
      <w:r>
        <w:rPr>
          <w:rFonts w:asciiTheme="minorHAnsi" w:hAnsiTheme="minorHAnsi"/>
          <w:iCs/>
          <w:sz w:val="22"/>
          <w:szCs w:val="22"/>
        </w:rPr>
        <w:t>:</w:t>
      </w:r>
    </w:p>
    <w:p w14:paraId="1D7100D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33B3173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Fórmula 40h = </w:t>
      </w:r>
      <w:r>
        <w:rPr>
          <w:rFonts w:ascii="Calibri" w:hAnsi="Calibri" w:cs="Arial"/>
          <w:b/>
          <w:sz w:val="22"/>
          <w:szCs w:val="22"/>
        </w:rPr>
        <w:t xml:space="preserve">valor do transporte x nº de passagens por dia x nº de dias trabalhados – (6% x valor salário base) – </w:t>
      </w:r>
      <w:r>
        <w:rPr>
          <w:rFonts w:ascii="Calibri" w:hAnsi="Calibri" w:cs="Arial"/>
          <w:b/>
          <w:color w:val="FF0000"/>
          <w:sz w:val="22"/>
          <w:szCs w:val="22"/>
        </w:rPr>
        <w:t>5 dias na semana</w:t>
      </w:r>
    </w:p>
    <w:p w14:paraId="60E4B25C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R$ 9,40 x 2 x </w:t>
      </w:r>
      <w:r>
        <w:rPr>
          <w:rFonts w:asciiTheme="minorHAnsi" w:hAnsiTheme="minorHAnsi"/>
          <w:b/>
          <w:iCs/>
          <w:sz w:val="22"/>
          <w:szCs w:val="22"/>
        </w:rPr>
        <w:t>20,88</w:t>
      </w:r>
      <w:r>
        <w:rPr>
          <w:rFonts w:asciiTheme="minorHAnsi" w:hAnsiTheme="minorHAnsi"/>
          <w:iCs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– (6% x valor salário base)</w:t>
      </w:r>
    </w:p>
    <w:p w14:paraId="409B6C5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598BF58">
      <w:pPr>
        <w:spacing w:line="276" w:lineRule="auto"/>
        <w:jc w:val="both"/>
        <w:rPr>
          <w:rFonts w:ascii="Calibri" w:hAnsi="Calibri" w:cs="Arial"/>
          <w:color w:val="FF0000"/>
        </w:rPr>
      </w:pPr>
      <w:r>
        <w:rPr>
          <w:rFonts w:ascii="Calibri" w:hAnsi="Calibri" w:cs="Arial"/>
          <w:color w:val="FF0000"/>
        </w:rPr>
        <w:t>Considerando que o Benefício para o Bilhete Único Intermunicipal é apenas com trabalhadores que recebam renda mensal inferior a R$3.205,20 (três mil, duzentos e cinco reais, e vinte centavos), optou-se estimar e definir, que, aqueles que recebam valores superiores ao citado, terão direito a 4 passagens por dia, conforme abaixo:</w:t>
      </w:r>
    </w:p>
    <w:p w14:paraId="6FF1561A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8811A0F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Fórmula 44h = </w:t>
      </w:r>
      <w:r>
        <w:rPr>
          <w:rFonts w:ascii="Calibri" w:hAnsi="Calibri" w:cs="Arial"/>
          <w:b/>
          <w:sz w:val="22"/>
          <w:szCs w:val="22"/>
        </w:rPr>
        <w:t xml:space="preserve">valor do transporte x nº de passagens por dia x nº de dias trabalhados – (6% x valor salário base) – </w:t>
      </w:r>
      <w:r>
        <w:rPr>
          <w:rFonts w:ascii="Calibri" w:hAnsi="Calibri" w:cs="Arial"/>
          <w:b/>
          <w:color w:val="FF0000"/>
          <w:sz w:val="22"/>
          <w:szCs w:val="22"/>
        </w:rPr>
        <w:t>5 dias na semana</w:t>
      </w:r>
    </w:p>
    <w:p w14:paraId="2BD1799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R$ 5,60 x 4 x </w:t>
      </w:r>
      <w:r>
        <w:rPr>
          <w:rFonts w:asciiTheme="minorHAnsi" w:hAnsiTheme="minorHAnsi"/>
          <w:b/>
          <w:iCs/>
          <w:sz w:val="22"/>
          <w:szCs w:val="22"/>
        </w:rPr>
        <w:t>20,88</w:t>
      </w:r>
      <w:r>
        <w:rPr>
          <w:rFonts w:asciiTheme="minorHAnsi" w:hAnsiTheme="minorHAnsi"/>
          <w:iCs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– (6% x valor salário base)</w:t>
      </w:r>
    </w:p>
    <w:p w14:paraId="1E330614">
      <w:pPr>
        <w:spacing w:line="276" w:lineRule="auto"/>
        <w:jc w:val="both"/>
        <w:rPr>
          <w:rFonts w:ascii="Calibri" w:hAnsi="Calibri" w:cs="Arial"/>
          <w:color w:val="FF0000"/>
        </w:rPr>
      </w:pPr>
    </w:p>
    <w:p w14:paraId="267CEDC8">
      <w:pPr>
        <w:spacing w:line="276" w:lineRule="auto"/>
        <w:jc w:val="both"/>
        <w:rPr>
          <w:rFonts w:ascii="Calibri" w:hAnsi="Calibri" w:cs="Arial"/>
          <w:color w:val="FF0000"/>
        </w:rPr>
      </w:pPr>
    </w:p>
    <w:p w14:paraId="21BAD432">
      <w:pPr>
        <w:spacing w:line="276" w:lineRule="auto"/>
        <w:jc w:val="both"/>
        <w:rPr>
          <w:rFonts w:ascii="Calibri" w:hAnsi="Calibri" w:cs="Arial"/>
          <w:b/>
          <w:sz w:val="22"/>
          <w:szCs w:val="22"/>
          <w:u w:val="single"/>
          <w:lang w:val="pt-PT"/>
        </w:rPr>
      </w:pPr>
      <w:r>
        <w:rPr>
          <w:rFonts w:ascii="Calibri" w:hAnsi="Calibri" w:cs="Arial"/>
          <w:b/>
          <w:sz w:val="22"/>
          <w:szCs w:val="22"/>
        </w:rPr>
        <w:t xml:space="preserve">B) Auxílio-alimentação - </w:t>
      </w:r>
      <w:r>
        <w:rPr>
          <w:rFonts w:ascii="Calibri" w:hAnsi="Calibri" w:cs="Arial"/>
          <w:b/>
          <w:sz w:val="22"/>
          <w:szCs w:val="22"/>
          <w:u w:val="single"/>
          <w:lang w:val="pt-PT"/>
        </w:rPr>
        <w:t xml:space="preserve">Todos os Postos </w:t>
      </w:r>
    </w:p>
    <w:p w14:paraId="176B4108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Há previsão para este custo, porém o Valor só será devido referente aos dias que por forças maior, não for fornecida refeição aos trabalhadores e os mesmo estejam laborando nas dependências da UFF.</w:t>
      </w:r>
    </w:p>
    <w:p w14:paraId="5D30C79C">
      <w:pPr>
        <w:rPr>
          <w:rFonts w:ascii="Calibri" w:hAnsi="Calibri" w:cs="Arial"/>
          <w:b/>
          <w:bCs/>
          <w:color w:val="EE0000"/>
          <w:u w:val="single"/>
        </w:rPr>
      </w:pPr>
    </w:p>
    <w:p w14:paraId="33669CBD">
      <w:pPr>
        <w:spacing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  <w:color w:val="FF0000"/>
        </w:rPr>
        <w:t xml:space="preserve">                                       </w:t>
      </w:r>
    </w:p>
    <w:p w14:paraId="0297DC2D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Módulo 3 – Provisão para Rescisão</w:t>
      </w:r>
    </w:p>
    <w:p w14:paraId="16E651D6">
      <w:pPr>
        <w:jc w:val="both"/>
        <w:rPr>
          <w:rFonts w:ascii="Calibri" w:hAnsi="Calibri" w:cs="Arial"/>
          <w:u w:val="single"/>
          <w:lang w:val="pt-PT"/>
        </w:rPr>
      </w:pPr>
    </w:p>
    <w:tbl>
      <w:tblPr>
        <w:tblStyle w:val="71"/>
        <w:tblW w:w="7938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25"/>
        <w:gridCol w:w="3119"/>
        <w:gridCol w:w="1844"/>
      </w:tblGrid>
      <w:tr w14:paraId="4A8C22B6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0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CDE4E05">
            <w:pPr>
              <w:jc w:val="center"/>
              <w:rPr>
                <w:rFonts w:cs="Arial" w:asciiTheme="minorHAnsi" w:hAnsiTheme="minorHAns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5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763E70B">
            <w:pPr>
              <w:jc w:val="center"/>
              <w:rPr>
                <w:rFonts w:cs="Arial" w:asciiTheme="minorHAnsi" w:hAnsiTheme="minorHAns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>PROVISÃO PARA RESCISÃO</w:t>
            </w:r>
          </w:p>
        </w:tc>
        <w:tc>
          <w:tcPr>
            <w:tcW w:w="3119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6EA34093">
            <w:pPr>
              <w:jc w:val="center"/>
              <w:rPr>
                <w:rFonts w:cs="Arial" w:asciiTheme="minorHAnsi" w:hAnsiTheme="minorHAns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  <w:tc>
          <w:tcPr>
            <w:tcW w:w="1843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07F12E5C">
            <w:pPr>
              <w:jc w:val="center"/>
              <w:rPr>
                <w:rFonts w:cs="Arial" w:asciiTheme="minorHAnsi" w:hAnsiTheme="minorHAns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</w:tr>
      <w:tr w14:paraId="1ECDF873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50" w:type="dxa"/>
            <w:shd w:val="clear" w:color="auto" w:fill="DBE5F1" w:themeFill="accent1" w:themeFillTint="33"/>
          </w:tcPr>
          <w:p w14:paraId="7D1C8F28">
            <w:pPr>
              <w:jc w:val="center"/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14:paraId="4BACF913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Aviso prévio indenizado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45DC3E5F">
            <w:pPr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 xml:space="preserve">Módulo 1 + Módulo 2 x 0,4167%   </w:t>
            </w:r>
          </w:p>
          <w:p w14:paraId="2D518EA4">
            <w:pPr>
              <w:rPr>
                <w:rFonts w:cs="Arial" w:asciiTheme="minorHAnsi" w:hAnsiTheme="minorHAnsi"/>
                <w:sz w:val="18"/>
                <w:szCs w:val="18"/>
              </w:rPr>
            </w:pPr>
          </w:p>
          <w:p w14:paraId="2CD9F209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 xml:space="preserve">0,4167%  foi obtido pela fórmula: </w:t>
            </w:r>
          </w:p>
          <w:p w14:paraId="40270F8C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 xml:space="preserve">1/12 * </w:t>
            </w:r>
            <w:r>
              <w:rPr>
                <w:rFonts w:cs="Arial" w:asciiTheme="minorHAnsi" w:hAnsiTheme="minorHAnsi"/>
                <w:b/>
                <w:bCs/>
                <w:color w:val="FF0000"/>
                <w:sz w:val="18"/>
                <w:szCs w:val="18"/>
              </w:rPr>
              <w:t>5%</w:t>
            </w:r>
            <w:r>
              <w:rPr>
                <w:rFonts w:cs="Arial" w:asciiTheme="minorHAnsi" w:hAnsiTheme="minorHAnsi"/>
                <w:sz w:val="18"/>
                <w:szCs w:val="18"/>
              </w:rPr>
              <w:t xml:space="preserve"> (indicador de rotatividade de dispensa sem justa causa)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358C4441">
            <w:pP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Art. 7º, XXI, CF/88,</w:t>
            </w:r>
          </w:p>
          <w:p w14:paraId="612335A5">
            <w:pPr>
              <w:rPr>
                <w:rFonts w:cs="Arial" w:asciiTheme="minorHAnsi" w:hAnsiTheme="minorHAnsi"/>
                <w:sz w:val="18"/>
                <w:szCs w:val="18"/>
                <w:lang w:val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477, 487 e 491 CLT</w:t>
            </w:r>
          </w:p>
        </w:tc>
      </w:tr>
      <w:tr w14:paraId="104139A1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0" w:type="dxa"/>
          </w:tcPr>
          <w:p w14:paraId="5EC110C4">
            <w:pPr>
              <w:jc w:val="center"/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125" w:type="dxa"/>
          </w:tcPr>
          <w:p w14:paraId="2FAD29DD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Incidência do FGTS sobre o Aviso prévio indenizado.</w:t>
            </w:r>
          </w:p>
        </w:tc>
        <w:tc>
          <w:tcPr>
            <w:tcW w:w="3119" w:type="dxa"/>
          </w:tcPr>
          <w:p w14:paraId="212BC407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 xml:space="preserve">Valor do aviso prévio indenizado x </w:t>
            </w:r>
            <w:r>
              <w:rPr>
                <w:rFonts w:cs="Arial" w:asciiTheme="minorHAnsi" w:hAnsiTheme="minorHAnsi" w:eastAsiaTheme="minorHAnsi"/>
                <w:b/>
                <w:bCs/>
                <w:sz w:val="18"/>
                <w:szCs w:val="18"/>
                <w:lang w:eastAsia="en-US"/>
              </w:rPr>
              <w:t>8%</w:t>
            </w:r>
          </w:p>
        </w:tc>
        <w:tc>
          <w:tcPr>
            <w:tcW w:w="1843" w:type="dxa"/>
          </w:tcPr>
          <w:p w14:paraId="270BF19F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Súmula nº 305 do TST</w:t>
            </w:r>
          </w:p>
        </w:tc>
      </w:tr>
      <w:tr w14:paraId="55F9AE6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50" w:type="dxa"/>
            <w:shd w:val="clear" w:color="auto" w:fill="DBE5F1" w:themeFill="accent1" w:themeFillTint="33"/>
          </w:tcPr>
          <w:p w14:paraId="314C994D">
            <w:pPr>
              <w:jc w:val="center"/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14:paraId="62A1E135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Multa do FGTS e Contribuição Social sobre Aviso Prévio Indenizado - 5%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77499DF8">
            <w:pPr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Módulo 1 + Módulo 2 x 0,16%</w:t>
            </w:r>
          </w:p>
          <w:p w14:paraId="5E3E2CA0">
            <w:pPr>
              <w:rPr>
                <w:rFonts w:cs="Arial" w:asciiTheme="minorHAnsi" w:hAnsiTheme="minorHAnsi"/>
                <w:sz w:val="18"/>
                <w:szCs w:val="18"/>
              </w:rPr>
            </w:pPr>
          </w:p>
          <w:p w14:paraId="1242E7F2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0,16% foi obtido pela fórmula:</w:t>
            </w:r>
          </w:p>
          <w:p w14:paraId="2BC8DF05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8% de FGTS x 40% de multa x 5% (estatística)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54208DD2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Leis n.ºs 8.036/90 e</w:t>
            </w:r>
          </w:p>
          <w:p w14:paraId="7FED844E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9.491/97</w:t>
            </w:r>
          </w:p>
        </w:tc>
      </w:tr>
      <w:tr w14:paraId="07F5FAE9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0" w:type="dxa"/>
          </w:tcPr>
          <w:p w14:paraId="66A582CE">
            <w:pPr>
              <w:jc w:val="center"/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125" w:type="dxa"/>
          </w:tcPr>
          <w:p w14:paraId="769818A9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Aviso Prévio Trabalhado</w:t>
            </w:r>
          </w:p>
        </w:tc>
        <w:tc>
          <w:tcPr>
            <w:tcW w:w="3119" w:type="dxa"/>
          </w:tcPr>
          <w:p w14:paraId="43F706F4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Percentual total do submódulo 2.2 x $ do aviso prévio trabalhado</w:t>
            </w:r>
          </w:p>
        </w:tc>
        <w:tc>
          <w:tcPr>
            <w:tcW w:w="1843" w:type="dxa"/>
          </w:tcPr>
          <w:p w14:paraId="76D28658">
            <w:pP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Art. 7º, XXI, CF/88,</w:t>
            </w:r>
          </w:p>
          <w:p w14:paraId="0578D7A8">
            <w:pPr>
              <w:rPr>
                <w:rFonts w:cs="Arial" w:asciiTheme="minorHAnsi" w:hAnsiTheme="minorHAnsi"/>
                <w:sz w:val="18"/>
                <w:szCs w:val="18"/>
                <w:lang w:val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477, 487 e 491 CLT.</w:t>
            </w:r>
          </w:p>
        </w:tc>
      </w:tr>
      <w:tr w14:paraId="1568855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50" w:type="dxa"/>
            <w:shd w:val="clear" w:color="auto" w:fill="DBE5F1" w:themeFill="accent1" w:themeFillTint="33"/>
          </w:tcPr>
          <w:p w14:paraId="02A77CF0">
            <w:pPr>
              <w:jc w:val="center"/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14:paraId="6E70B0D1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Incidência dos encargos do Submódulo 2.2 sobre Aviso Prévio Trabalhado.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743C3384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[(Remuneração / dias do mês) / meses do ano] x 7 dias de redução da jornada x 8%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44914DF5">
            <w:pPr>
              <w:jc w:val="center"/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-</w:t>
            </w:r>
          </w:p>
        </w:tc>
      </w:tr>
      <w:tr w14:paraId="32C5F69F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0" w:type="dxa"/>
          </w:tcPr>
          <w:p w14:paraId="65D07CE6">
            <w:pPr>
              <w:jc w:val="center"/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2125" w:type="dxa"/>
          </w:tcPr>
          <w:p w14:paraId="0A546E08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Multa FGTS e Contribuição Social sobre o Aviso Prévio Trabalhado – 100%</w:t>
            </w:r>
          </w:p>
        </w:tc>
        <w:tc>
          <w:tcPr>
            <w:tcW w:w="3119" w:type="dxa"/>
          </w:tcPr>
          <w:p w14:paraId="640DE0A7">
            <w:pPr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Módulo 1 + Módulo 2 x 3,20%</w:t>
            </w:r>
          </w:p>
          <w:p w14:paraId="037045E8">
            <w:pPr>
              <w:rPr>
                <w:rFonts w:cs="Arial" w:asciiTheme="minorHAnsi" w:hAnsiTheme="minorHAnsi"/>
                <w:b/>
                <w:bCs/>
                <w:sz w:val="18"/>
                <w:szCs w:val="18"/>
              </w:rPr>
            </w:pPr>
          </w:p>
          <w:p w14:paraId="05368397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3,20% foi obtido pela fórmula:</w:t>
            </w:r>
          </w:p>
          <w:p w14:paraId="1762F513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8% de FGTS x 40% de multa x 100%</w:t>
            </w:r>
          </w:p>
        </w:tc>
        <w:tc>
          <w:tcPr>
            <w:tcW w:w="1843" w:type="dxa"/>
          </w:tcPr>
          <w:p w14:paraId="4A609CBD">
            <w:pP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Art. 7º, XXI, CF/88,</w:t>
            </w:r>
          </w:p>
          <w:p w14:paraId="7769D965">
            <w:pPr>
              <w:rPr>
                <w:rFonts w:cs="Arial" w:asciiTheme="minorHAnsi" w:hAnsiTheme="minorHAnsi"/>
                <w:sz w:val="18"/>
                <w:szCs w:val="18"/>
                <w:lang w:val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477, 487 e 491 CLT.</w:t>
            </w:r>
          </w:p>
        </w:tc>
      </w:tr>
      <w:tr w14:paraId="7E5B90FC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50" w:type="dxa"/>
            <w:shd w:val="clear" w:color="auto" w:fill="DBE5F1" w:themeFill="accent1" w:themeFillTint="33"/>
          </w:tcPr>
          <w:p w14:paraId="6F930036">
            <w:pPr>
              <w:jc w:val="center"/>
              <w:rPr>
                <w:rFonts w:cs="Arial" w:asciiTheme="minorHAnsi" w:hAnsi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shd w:val="clear" w:color="auto" w:fill="DBE5F1" w:themeFill="accent1" w:themeFillTint="33"/>
          </w:tcPr>
          <w:p w14:paraId="757BF846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Total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2FF07B8F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shd w:val="clear" w:color="auto" w:fill="DBE5F1" w:themeFill="accent1" w:themeFillTint="33"/>
          </w:tcPr>
          <w:p w14:paraId="37C0E69B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</w:p>
        </w:tc>
      </w:tr>
    </w:tbl>
    <w:p w14:paraId="19D61B18">
      <w:pPr>
        <w:ind w:left="426"/>
        <w:jc w:val="both"/>
        <w:rPr>
          <w:rFonts w:cs="Arial" w:asciiTheme="minorHAnsi" w:hAnsiTheme="minorHAnsi" w:eastAsiaTheme="minorHAnsi"/>
          <w:sz w:val="16"/>
          <w:szCs w:val="16"/>
          <w:lang w:eastAsia="en-US"/>
        </w:rPr>
      </w:pPr>
      <w:r>
        <w:rPr>
          <w:rFonts w:cs="Arial" w:asciiTheme="minorHAnsi" w:hAnsiTheme="minorHAnsi" w:eastAsiaTheme="minorHAnsi"/>
          <w:sz w:val="16"/>
          <w:szCs w:val="16"/>
          <w:lang w:eastAsia="en-US"/>
        </w:rPr>
        <w:t>OBSERVAÇÕES: Nota Técnica nº 652/2017 - MP</w:t>
      </w:r>
    </w:p>
    <w:p w14:paraId="45DA31D3">
      <w:pPr>
        <w:ind w:left="426"/>
        <w:jc w:val="both"/>
        <w:rPr>
          <w:rFonts w:cs="Arial" w:asciiTheme="minorHAnsi" w:hAnsiTheme="minorHAnsi" w:eastAsiaTheme="minorHAnsi"/>
          <w:sz w:val="16"/>
          <w:szCs w:val="16"/>
          <w:lang w:eastAsia="en-US"/>
        </w:rPr>
      </w:pPr>
    </w:p>
    <w:p w14:paraId="5EB637C7">
      <w:pPr>
        <w:ind w:left="426"/>
        <w:jc w:val="both"/>
        <w:rPr>
          <w:rFonts w:cs="Arial" w:asciiTheme="minorHAnsi" w:hAnsiTheme="minorHAnsi" w:eastAsiaTheme="minorHAnsi"/>
          <w:sz w:val="16"/>
          <w:szCs w:val="16"/>
          <w:lang w:eastAsia="en-US"/>
        </w:rPr>
      </w:pPr>
    </w:p>
    <w:p w14:paraId="0F86BC1D">
      <w:pPr>
        <w:jc w:val="both"/>
        <w:rPr>
          <w:rFonts w:ascii="Calibri" w:hAnsi="Calibri" w:cs="Arial"/>
          <w:b/>
          <w:color w:val="FF0000"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 xml:space="preserve">Módulo 4 – Custo de Reposição de Profissional Ausente </w:t>
      </w:r>
    </w:p>
    <w:p w14:paraId="3EEB70D0">
      <w:pPr>
        <w:rPr>
          <w:rFonts w:ascii="Calibri" w:hAnsi="Calibri" w:cs="Arial"/>
          <w:sz w:val="22"/>
          <w:szCs w:val="22"/>
        </w:rPr>
      </w:pPr>
    </w:p>
    <w:p w14:paraId="6953B1F4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>Submódulo 4.1 – Ausências Legais</w:t>
      </w:r>
    </w:p>
    <w:p w14:paraId="4ADEC80A">
      <w:pPr>
        <w:rPr>
          <w:rFonts w:ascii="Calibri" w:hAnsi="Calibri" w:cs="Arial"/>
          <w:lang w:val="pt-PT"/>
        </w:rPr>
      </w:pPr>
    </w:p>
    <w:tbl>
      <w:tblPr>
        <w:tblStyle w:val="71"/>
        <w:tblW w:w="9430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"/>
        <w:gridCol w:w="1825"/>
        <w:gridCol w:w="3316"/>
        <w:gridCol w:w="3896"/>
      </w:tblGrid>
      <w:tr w14:paraId="2D2BE833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93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5FACFEC6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825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0AB6D54A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Ausências Legais</w:t>
            </w:r>
          </w:p>
        </w:tc>
        <w:tc>
          <w:tcPr>
            <w:tcW w:w="3316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232125D1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  <w:tc>
          <w:tcPr>
            <w:tcW w:w="3896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49B483AA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</w:tr>
      <w:tr w14:paraId="6CB42A2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393" w:type="dxa"/>
            <w:shd w:val="clear" w:color="auto" w:fill="DBE5F1" w:themeFill="accent1" w:themeFillTint="33"/>
          </w:tcPr>
          <w:p w14:paraId="0877C565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825" w:type="dxa"/>
            <w:shd w:val="clear" w:color="auto" w:fill="DBE5F1" w:themeFill="accent1" w:themeFillTint="33"/>
          </w:tcPr>
          <w:p w14:paraId="75DC7780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Férias</w:t>
            </w:r>
          </w:p>
        </w:tc>
        <w:tc>
          <w:tcPr>
            <w:tcW w:w="3316" w:type="dxa"/>
            <w:shd w:val="clear" w:color="auto" w:fill="DBE5F1" w:themeFill="accent1" w:themeFillTint="33"/>
          </w:tcPr>
          <w:p w14:paraId="25E1521A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Módulo 1 + Módulo 2 + Módulo 3 x 0,926%</w:t>
            </w:r>
          </w:p>
          <w:p w14:paraId="501778CD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  <w:p w14:paraId="2F8223A5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0,9626% foi obtido pela fórmula: </w:t>
            </w:r>
          </w:p>
          <w:p w14:paraId="2E9E3C3F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1 + terço constitucional / pelo número de meses ((1+ 1/3)/12)/12</w:t>
            </w:r>
          </w:p>
        </w:tc>
        <w:tc>
          <w:tcPr>
            <w:tcW w:w="3896" w:type="dxa"/>
            <w:shd w:val="clear" w:color="auto" w:fill="DBE5F1" w:themeFill="accent1" w:themeFillTint="33"/>
          </w:tcPr>
          <w:p w14:paraId="077A056C">
            <w:pPr>
              <w:jc w:val="both"/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-</w:t>
            </w:r>
          </w:p>
          <w:p w14:paraId="6F2EAD1D">
            <w:pPr>
              <w:jc w:val="both"/>
              <w:rPr>
                <w:rFonts w:cs="Arial" w:asciiTheme="minorHAnsi" w:hAnsiTheme="minorHAnsi"/>
                <w:sz w:val="18"/>
                <w:szCs w:val="18"/>
              </w:rPr>
            </w:pPr>
          </w:p>
        </w:tc>
      </w:tr>
      <w:tr w14:paraId="0E75E8C0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393" w:type="dxa"/>
          </w:tcPr>
          <w:p w14:paraId="56C29E8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825" w:type="dxa"/>
          </w:tcPr>
          <w:p w14:paraId="03491C22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Ausências Legais</w:t>
            </w:r>
          </w:p>
        </w:tc>
        <w:tc>
          <w:tcPr>
            <w:tcW w:w="3316" w:type="dxa"/>
          </w:tcPr>
          <w:p w14:paraId="26C8EB77">
            <w:pPr>
              <w:jc w:val="center"/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Módulo 1 + Módulo 2 + Módulo 3 x </w:t>
            </w:r>
            <w:r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  <w:t>percentual</w:t>
            </w:r>
          </w:p>
          <w:p w14:paraId="04FE0708">
            <w:pPr>
              <w:jc w:val="center"/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</w:pPr>
          </w:p>
          <w:p w14:paraId="20607D5F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Percentual: nDR(AL) / 30 dias / 12 meses</w:t>
            </w:r>
          </w:p>
          <w:p w14:paraId="30B67995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2,96 / 30 /12 = 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0,822%</w:t>
            </w:r>
          </w:p>
        </w:tc>
        <w:tc>
          <w:tcPr>
            <w:tcW w:w="3896" w:type="dxa"/>
          </w:tcPr>
          <w:p w14:paraId="63631B53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Art. 473 da CLT / Acórdão TCU 1.753/2008:  Calculado segundo estimativa do MPOG (manual de preenchimento, pg 54).</w:t>
            </w:r>
          </w:p>
          <w:p w14:paraId="6C1C22F4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nDR(AL)</w:t>
            </w:r>
            <w:r>
              <w:rPr>
                <w:rFonts w:ascii="Calibri" w:hAnsi="Calibri" w:cs="Arial"/>
                <w:sz w:val="18"/>
                <w:szCs w:val="18"/>
              </w:rPr>
              <w:t xml:space="preserve"> - nº médio anual de dias de ausências legais por ano =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2,96</w:t>
            </w:r>
          </w:p>
        </w:tc>
      </w:tr>
      <w:tr w14:paraId="1B499C6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93" w:type="dxa"/>
            <w:shd w:val="clear" w:color="auto" w:fill="DBE5F1" w:themeFill="accent1" w:themeFillTint="33"/>
          </w:tcPr>
          <w:p w14:paraId="5C6EB5D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825" w:type="dxa"/>
            <w:shd w:val="clear" w:color="auto" w:fill="DBE5F1" w:themeFill="accent1" w:themeFillTint="33"/>
          </w:tcPr>
          <w:p w14:paraId="1E42B367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Licença-Paternidade</w:t>
            </w:r>
          </w:p>
        </w:tc>
        <w:tc>
          <w:tcPr>
            <w:tcW w:w="3316" w:type="dxa"/>
            <w:shd w:val="clear" w:color="auto" w:fill="DBE5F1" w:themeFill="accent1" w:themeFillTint="33"/>
          </w:tcPr>
          <w:p w14:paraId="7FE93607">
            <w:pPr>
              <w:jc w:val="center"/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Módulo 1 + Módulo 2 + Módulo 3 x </w:t>
            </w:r>
            <w:r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  <w:t>percentual</w:t>
            </w:r>
          </w:p>
          <w:p w14:paraId="30CAB2E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  <w:p w14:paraId="6B3E84F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Percentual: 5 dias / 30 dias / 12 meses x 1,5% =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0,020833%</w:t>
            </w:r>
          </w:p>
        </w:tc>
        <w:tc>
          <w:tcPr>
            <w:tcW w:w="3896" w:type="dxa"/>
            <w:shd w:val="clear" w:color="auto" w:fill="DBE5F1" w:themeFill="accent1" w:themeFillTint="33"/>
          </w:tcPr>
          <w:p w14:paraId="587FB5EB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Art. 7º, XIX, CF/88 e</w:t>
            </w:r>
          </w:p>
          <w:p w14:paraId="3672EF95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10, § 1º, da CLT.</w:t>
            </w:r>
          </w:p>
          <w:p w14:paraId="725E0097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Manual de Preenchimento de Planilhas do MPOG 2011 (pg 27):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1,5%</w:t>
            </w:r>
            <w:r>
              <w:rPr>
                <w:rFonts w:ascii="Calibri" w:hAnsi="Calibri" w:cs="Arial"/>
                <w:sz w:val="18"/>
                <w:szCs w:val="18"/>
              </w:rPr>
              <w:t xml:space="preserve"> dos trabalhadores tem filhos. Sendo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5 dias (nº de dias corridos de licença).</w:t>
            </w:r>
          </w:p>
        </w:tc>
      </w:tr>
      <w:tr w14:paraId="7DC09A32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393" w:type="dxa"/>
          </w:tcPr>
          <w:p w14:paraId="72025636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825" w:type="dxa"/>
          </w:tcPr>
          <w:p w14:paraId="5EB24F4D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Ausência por acidente de trabalho</w:t>
            </w:r>
          </w:p>
        </w:tc>
        <w:tc>
          <w:tcPr>
            <w:tcW w:w="3316" w:type="dxa"/>
          </w:tcPr>
          <w:p w14:paraId="79991636">
            <w:pPr>
              <w:jc w:val="center"/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Módulo 1 + Módulo 2 + Módulo 3 x </w:t>
            </w:r>
            <w:r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  <w:t>percentual</w:t>
            </w:r>
          </w:p>
          <w:p w14:paraId="00F5FC4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  <w:p w14:paraId="77DBB735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Percentual: 15 dias / 30 dias / 12 meses x 0,78% =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0,0325%</w:t>
            </w:r>
          </w:p>
        </w:tc>
        <w:tc>
          <w:tcPr>
            <w:tcW w:w="3896" w:type="dxa"/>
          </w:tcPr>
          <w:p w14:paraId="43106BC8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Arts. 19 a 23 c/c § 2º, Art. 43 da Lei 8.213/91.</w:t>
            </w:r>
          </w:p>
          <w:p w14:paraId="6803C2E0">
            <w:pPr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Manual de Preenchimento de Planilhas do MPOG 2011 (pg 28):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0,78%</w:t>
            </w:r>
            <w:r>
              <w:rPr>
                <w:rFonts w:ascii="Calibri" w:hAnsi="Calibri" w:cs="Arial"/>
                <w:sz w:val="18"/>
                <w:szCs w:val="18"/>
              </w:rPr>
              <w:t xml:space="preserve"> dos empregados se acidentam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; </w:t>
            </w:r>
          </w:p>
          <w:p w14:paraId="735808CD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Sendo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15 dias (nº de dias corridos de licença pagos pelo empregador).</w:t>
            </w:r>
          </w:p>
          <w:p w14:paraId="1356A33A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14:paraId="35FBD585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93" w:type="dxa"/>
            <w:shd w:val="clear" w:color="auto" w:fill="DBE5F1" w:themeFill="accent1" w:themeFillTint="33"/>
          </w:tcPr>
          <w:p w14:paraId="60E85DD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825" w:type="dxa"/>
            <w:shd w:val="clear" w:color="auto" w:fill="DBE5F1" w:themeFill="accent1" w:themeFillTint="33"/>
          </w:tcPr>
          <w:p w14:paraId="4D6597C3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  <w:shd w:val="clear" w:color="auto" w:fill="FFFFFF"/>
              </w:rPr>
              <w:t>Substituto na cobertura de Afastamento Maternidade</w:t>
            </w:r>
            <w:r>
              <w:rPr>
                <w:rFonts w:cs="Arial"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316" w:type="dxa"/>
            <w:shd w:val="clear" w:color="auto" w:fill="DBE5F1" w:themeFill="accent1" w:themeFillTint="33"/>
          </w:tcPr>
          <w:p w14:paraId="4D7C01AF">
            <w:pPr>
              <w:jc w:val="center"/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Módulo 1 + Módulo 2 + Módulo 3 x </w:t>
            </w:r>
            <w:r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  <w:t>percentual</w:t>
            </w:r>
          </w:p>
          <w:p w14:paraId="29597B5B">
            <w:pPr>
              <w:tabs>
                <w:tab w:val="left" w:pos="2800"/>
              </w:tabs>
              <w:jc w:val="center"/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</w:p>
          <w:p w14:paraId="68DE114C">
            <w:pPr>
              <w:jc w:val="center"/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 xml:space="preserve">Percentual: 4 meses / 12 meses / 12 x 0,270% = </w:t>
            </w:r>
            <w:r>
              <w:rPr>
                <w:rFonts w:cs="Arial" w:asciiTheme="minorHAnsi" w:hAnsiTheme="minorHAnsi" w:eastAsiaTheme="minorHAnsi"/>
                <w:b/>
                <w:bCs/>
                <w:sz w:val="18"/>
                <w:szCs w:val="18"/>
                <w:lang w:eastAsia="en-US"/>
              </w:rPr>
              <w:t>0,0075%</w:t>
            </w:r>
          </w:p>
        </w:tc>
        <w:tc>
          <w:tcPr>
            <w:tcW w:w="3896" w:type="dxa"/>
            <w:shd w:val="clear" w:color="auto" w:fill="DBE5F1" w:themeFill="accent1" w:themeFillTint="33"/>
          </w:tcPr>
          <w:p w14:paraId="2A4A7624">
            <w:pPr>
              <w:rPr>
                <w:rStyle w:val="12"/>
                <w:rFonts w:asciiTheme="minorHAnsi" w:hAnsiTheme="minorHAnsi"/>
                <w:i w:val="0"/>
                <w:sz w:val="18"/>
                <w:szCs w:val="18"/>
                <w:highlight w:val="white"/>
              </w:rPr>
            </w:pPr>
            <w:r>
              <w:rPr>
                <w:rStyle w:val="12"/>
                <w:rFonts w:asciiTheme="minorHAnsi" w:hAnsiTheme="minorHAnsi"/>
                <w:i w:val="0"/>
                <w:sz w:val="18"/>
                <w:szCs w:val="18"/>
                <w:shd w:val="clear" w:color="auto" w:fill="FFFFFF"/>
              </w:rPr>
              <w:t>Art. 6º e 201 da CF, art. 392 da CLT.</w:t>
            </w:r>
          </w:p>
          <w:p w14:paraId="05A2FB47">
            <w:pPr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 xml:space="preserve">Considerando os dados do IBGE 2022, a taxa de fecundidade no estado do Rio de Janeiro é de 1,35% </w:t>
            </w:r>
            <w:r>
              <w:rPr>
                <w:rFonts w:ascii="Calibri" w:hAnsi="Calibri"/>
                <w:b/>
                <w:sz w:val="18"/>
                <w:szCs w:val="18"/>
              </w:rPr>
              <w:t>https://agendadopoder.com.br/rio-de-janeiro-tem-a-menor-taxa-de-fecundidade-do-brasil-aponta-ibge/#google_vignette</w:t>
            </w:r>
            <w:r>
              <w:t>. Acesso em 13/02/2026)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;</w:t>
            </w:r>
          </w:p>
          <w:p w14:paraId="588E8F1C">
            <w:pPr>
              <w:rPr>
                <w:rFonts w:ascii="Calibri" w:hAnsi="Calibri" w:cs="Arial"/>
                <w:b/>
                <w:sz w:val="18"/>
                <w:szCs w:val="18"/>
              </w:rPr>
            </w:pPr>
          </w:p>
          <w:p w14:paraId="7015077A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Considerando dados disponibilizados na internet sobre média percentual de mulheres que atuam nessa ramo profissional (</w:t>
            </w:r>
            <w:r>
              <w:rPr>
                <w:rFonts w:ascii="Calibri" w:hAnsi="Calibri"/>
                <w:sz w:val="18"/>
                <w:szCs w:val="18"/>
              </w:rPr>
              <w:t>https://fenati.org.br/mulheres-ocupam-menos-de-30-das-vagas-no-setor-de-tecnologia/#:~:text=Mulheres%20ocupam%20menos%20de%2030,no%20setor%20de%20tecnologia%20%2D%20FENATI). Acesso em 26/02/2026</w:t>
            </w:r>
          </w:p>
          <w:p w14:paraId="71CCB925">
            <w:pPr>
              <w:rPr>
                <w:rFonts w:ascii="Calibri" w:hAnsi="Calibri"/>
                <w:sz w:val="18"/>
                <w:szCs w:val="18"/>
              </w:rPr>
            </w:pPr>
          </w:p>
          <w:p w14:paraId="55E7BAF3">
            <w:pPr>
              <w:rPr>
                <w:rFonts w:cs="Arial" w:asciiTheme="minorHAnsi" w:hAnsiTheme="minorHAnsi" w:eastAsiaTheme="minorHAns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color w:val="FF0000"/>
                <w:sz w:val="18"/>
                <w:szCs w:val="18"/>
              </w:rPr>
              <w:t xml:space="preserve">Temos, portanto, aproximadamente 20% de mulheres do número </w:t>
            </w:r>
            <w:r>
              <w:rPr>
                <w:rFonts w:ascii="Calibri" w:hAnsi="Calibri" w:cs="Arial"/>
                <w:sz w:val="18"/>
                <w:szCs w:val="18"/>
              </w:rPr>
              <w:t xml:space="preserve">total de trabalhadores. Sendo assim, a percentagem de afastamento maternidade é </w:t>
            </w:r>
            <w:r>
              <w:rPr>
                <w:rFonts w:ascii="Calibri" w:hAnsi="Calibri" w:cs="Arial"/>
                <w:color w:val="FF0000"/>
                <w:sz w:val="18"/>
                <w:szCs w:val="18"/>
              </w:rPr>
              <w:t>de 20</w:t>
            </w: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% x 1,35%</w:t>
            </w:r>
            <w:r>
              <w:rPr>
                <w:rFonts w:ascii="Calibri" w:hAnsi="Calibri" w:cs="Arial"/>
                <w:color w:val="FF0000"/>
                <w:sz w:val="18"/>
                <w:szCs w:val="18"/>
              </w:rPr>
              <w:t xml:space="preserve"> = 0,270%</w:t>
            </w:r>
          </w:p>
        </w:tc>
      </w:tr>
      <w:tr w14:paraId="2BF11F9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93" w:type="dxa"/>
          </w:tcPr>
          <w:p w14:paraId="193B0F9C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1825" w:type="dxa"/>
          </w:tcPr>
          <w:p w14:paraId="09D2814F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Outras ausências (especificar)</w:t>
            </w:r>
          </w:p>
        </w:tc>
        <w:tc>
          <w:tcPr>
            <w:tcW w:w="3316" w:type="dxa"/>
          </w:tcPr>
          <w:p w14:paraId="6BB7589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896" w:type="dxa"/>
          </w:tcPr>
          <w:p w14:paraId="73CD743C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-</w:t>
            </w:r>
          </w:p>
        </w:tc>
      </w:tr>
      <w:tr w14:paraId="366BC93D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93" w:type="dxa"/>
            <w:shd w:val="clear" w:color="auto" w:fill="DBE5F1" w:themeFill="accent1" w:themeFillTint="33"/>
          </w:tcPr>
          <w:p w14:paraId="5C562FE2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25" w:type="dxa"/>
            <w:shd w:val="clear" w:color="auto" w:fill="DBE5F1" w:themeFill="accent1" w:themeFillTint="33"/>
          </w:tcPr>
          <w:p w14:paraId="7177E23E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Total</w:t>
            </w:r>
          </w:p>
        </w:tc>
        <w:tc>
          <w:tcPr>
            <w:tcW w:w="3316" w:type="dxa"/>
            <w:shd w:val="clear" w:color="auto" w:fill="DBE5F1" w:themeFill="accent1" w:themeFillTint="33"/>
          </w:tcPr>
          <w:p w14:paraId="1F2F4901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896" w:type="dxa"/>
            <w:shd w:val="clear" w:color="auto" w:fill="DBE5F1" w:themeFill="accent1" w:themeFillTint="33"/>
          </w:tcPr>
          <w:p w14:paraId="7410752A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</w:p>
        </w:tc>
      </w:tr>
    </w:tbl>
    <w:p w14:paraId="60140219">
      <w:pPr>
        <w:ind w:left="426"/>
        <w:jc w:val="both"/>
        <w:rPr>
          <w:rStyle w:val="9"/>
          <w:rFonts w:cs="Arial" w:asciiTheme="minorHAnsi" w:hAnsiTheme="minorHAnsi"/>
          <w:color w:val="000000"/>
          <w:sz w:val="16"/>
          <w:szCs w:val="16"/>
          <w:shd w:val="clear" w:color="auto" w:fill="FFFFFF"/>
        </w:rPr>
      </w:pPr>
    </w:p>
    <w:p w14:paraId="7AA16A38">
      <w:pPr>
        <w:ind w:left="426"/>
        <w:rPr>
          <w:rFonts w:cs="Arial" w:asciiTheme="minorHAnsi" w:hAnsiTheme="minorHAnsi"/>
          <w:color w:val="000000"/>
          <w:sz w:val="22"/>
          <w:szCs w:val="22"/>
          <w:highlight w:val="white"/>
        </w:rPr>
      </w:pPr>
      <w:r>
        <w:rPr>
          <w:rStyle w:val="9"/>
          <w:rFonts w:cs="Arial" w:asciiTheme="minorHAnsi" w:hAnsiTheme="minorHAnsi"/>
          <w:color w:val="000000"/>
          <w:sz w:val="22"/>
          <w:szCs w:val="22"/>
          <w:shd w:val="clear" w:color="auto" w:fill="FFFFFF"/>
        </w:rPr>
        <w:t>Nota 1: </w:t>
      </w:r>
      <w:r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  <w:t>Os itens que contemplam o módulo 4 se referem ao custo dos dias trabalhados pelo repositor/substituto, quando o empregado alocado na prestação de serviço estiver ausente, conforme as previsões estabelecidas na legislação.</w:t>
      </w:r>
    </w:p>
    <w:p w14:paraId="1D74F130">
      <w:pPr>
        <w:ind w:left="42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2A55883E">
      <w:pPr>
        <w:pStyle w:val="59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2E588924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 xml:space="preserve">Submódulo 4.2 – </w:t>
      </w:r>
      <w:r>
        <w:rPr>
          <w:rStyle w:val="9"/>
          <w:rFonts w:cs="Arial" w:asciiTheme="minorHAnsi" w:hAnsiTheme="minorHAnsi"/>
          <w:b w:val="0"/>
          <w:color w:val="000000"/>
          <w:sz w:val="22"/>
          <w:szCs w:val="22"/>
          <w:u w:val="single"/>
          <w:shd w:val="clear" w:color="auto" w:fill="FFFFFF"/>
        </w:rPr>
        <w:t>Substituto na Intrajornada</w:t>
      </w:r>
    </w:p>
    <w:p w14:paraId="15920305">
      <w:pPr>
        <w:tabs>
          <w:tab w:val="left" w:pos="8130"/>
        </w:tabs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Não haverá previsão de indenização pelo intervalor de intrajornada.</w:t>
      </w:r>
    </w:p>
    <w:p w14:paraId="1D8AA199">
      <w:pPr>
        <w:jc w:val="both"/>
        <w:rPr>
          <w:rFonts w:ascii="Calibri" w:hAnsi="Calibri" w:cs="Arial"/>
        </w:rPr>
      </w:pPr>
    </w:p>
    <w:p w14:paraId="6A6628B2">
      <w:pPr>
        <w:jc w:val="both"/>
        <w:rPr>
          <w:rFonts w:ascii="Calibri" w:hAnsi="Calibri" w:cs="Arial"/>
          <w:b/>
          <w:u w:val="single"/>
        </w:rPr>
      </w:pPr>
    </w:p>
    <w:p w14:paraId="6C3424C1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Módulo 5 – Insumos Diversos</w:t>
      </w:r>
    </w:p>
    <w:p w14:paraId="2772F621">
      <w:pPr>
        <w:jc w:val="both"/>
        <w:rPr>
          <w:rFonts w:ascii="Calibri" w:hAnsi="Calibri" w:cs="Arial"/>
          <w:b/>
          <w:sz w:val="22"/>
          <w:szCs w:val="22"/>
          <w:u w:val="single"/>
        </w:rPr>
      </w:pPr>
    </w:p>
    <w:p w14:paraId="005906C4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A) Uniformes</w:t>
      </w:r>
    </w:p>
    <w:p w14:paraId="7265383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É considerado os valores praticados no mercado para uniforme e EPIS </w:t>
      </w:r>
    </w:p>
    <w:p w14:paraId="302A5380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Quantidade estimada por ano, sendo 1 (hum) conjunto na admissão e mais 1 (um) conjunto a cada 6 (seis) meses. Conforme Anexo III-B.</w:t>
      </w:r>
    </w:p>
    <w:p w14:paraId="62D21C4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194CF21">
      <w:pPr>
        <w:rPr>
          <w:rFonts w:cs="Arial" w:asciiTheme="minorHAnsi" w:hAnsiTheme="minorHAnsi"/>
          <w:b/>
          <w:lang w:val="pt-PT"/>
        </w:rPr>
      </w:pPr>
      <w:r>
        <w:rPr>
          <w:rFonts w:cs="Arial" w:asciiTheme="minorHAnsi" w:hAnsiTheme="minorHAnsi"/>
          <w:b/>
          <w:lang w:val="pt-PT"/>
        </w:rPr>
        <w:t>B) EQUIPAMENTOS</w:t>
      </w:r>
    </w:p>
    <w:p w14:paraId="34DAE2F4">
      <w:pPr>
        <w:rPr>
          <w:rFonts w:cs="Arial" w:asciiTheme="minorHAnsi" w:hAnsiTheme="minorHAnsi"/>
          <w:b/>
          <w:lang w:val="pt-PT"/>
        </w:rPr>
      </w:pPr>
      <w:r>
        <w:rPr>
          <w:rFonts w:cs="Arial" w:asciiTheme="minorHAnsi" w:hAnsiTheme="minorHAnsi"/>
          <w:b/>
          <w:lang w:val="pt-PT"/>
        </w:rPr>
        <w:t>Conforme Anexo III-A</w:t>
      </w:r>
    </w:p>
    <w:p w14:paraId="4C418CCC">
      <w:pPr>
        <w:rPr>
          <w:rFonts w:cs="Arial" w:asciiTheme="minorHAnsi" w:hAnsiTheme="minorHAnsi"/>
          <w:b/>
          <w:lang w:val="pt-PT"/>
        </w:rPr>
      </w:pPr>
    </w:p>
    <w:p w14:paraId="09C34601">
      <w:pPr>
        <w:rPr>
          <w:rFonts w:cs="Arial" w:asciiTheme="minorHAnsi" w:hAnsiTheme="minorHAnsi"/>
          <w:b/>
          <w:lang w:val="pt-PT"/>
        </w:rPr>
      </w:pPr>
      <w:r>
        <w:rPr>
          <w:rFonts w:cs="Arial" w:asciiTheme="minorHAnsi" w:hAnsiTheme="minorHAnsi"/>
          <w:b/>
          <w:lang w:val="pt-PT"/>
        </w:rPr>
        <w:t>C) Materais</w:t>
      </w:r>
    </w:p>
    <w:p w14:paraId="23614A50">
      <w:pPr>
        <w:rPr>
          <w:rFonts w:cs="Arial" w:asciiTheme="minorHAnsi" w:hAnsiTheme="minorHAnsi"/>
          <w:b/>
          <w:lang w:val="pt-PT"/>
        </w:rPr>
      </w:pPr>
      <w:r>
        <w:rPr>
          <w:rFonts w:cs="Arial" w:asciiTheme="minorHAnsi" w:hAnsiTheme="minorHAnsi"/>
          <w:b/>
          <w:lang w:val="pt-PT"/>
        </w:rPr>
        <w:t>Não há previsão.</w:t>
      </w:r>
    </w:p>
    <w:p w14:paraId="666CB082">
      <w:pPr>
        <w:rPr>
          <w:rFonts w:cs="Arial" w:asciiTheme="minorHAnsi" w:hAnsiTheme="minorHAnsi"/>
          <w:b/>
          <w:lang w:val="pt-PT"/>
        </w:rPr>
      </w:pPr>
    </w:p>
    <w:p w14:paraId="72BC5612">
      <w:pPr>
        <w:rPr>
          <w:rFonts w:cs="Arial" w:asciiTheme="minorHAnsi" w:hAnsiTheme="minorHAnsi"/>
          <w:b/>
        </w:rPr>
      </w:pPr>
    </w:p>
    <w:p w14:paraId="3E3EF17E">
      <w:pPr>
        <w:rPr>
          <w:rFonts w:cs="Arial" w:asciiTheme="minorHAnsi" w:hAnsiTheme="minorHAnsi"/>
          <w:b/>
          <w:lang w:val="pt-PT"/>
        </w:rPr>
      </w:pPr>
    </w:p>
    <w:p w14:paraId="0FC3397B">
      <w:pPr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</w:pPr>
      <w:r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  <w:t>Módulo 6 – Custos Indiretos, Lucro e Tributos</w:t>
      </w:r>
    </w:p>
    <w:p w14:paraId="4F80DAD5">
      <w:pPr>
        <w:rPr>
          <w:rFonts w:ascii="Calibri" w:hAnsi="Calibri" w:cs="Arial" w:eastAsiaTheme="minorHAnsi"/>
          <w:b/>
          <w:u w:val="single"/>
          <w:lang w:eastAsia="en-US"/>
        </w:rPr>
      </w:pPr>
    </w:p>
    <w:tbl>
      <w:tblPr>
        <w:tblStyle w:val="71"/>
        <w:tblW w:w="5523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26"/>
        <w:gridCol w:w="2547"/>
      </w:tblGrid>
      <w:tr w14:paraId="757EAF40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0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D57EB3B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50E805B5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CUSTOS INDIRETOS, TRIBUTOS E LUCRO REAL</w:t>
            </w:r>
          </w:p>
        </w:tc>
        <w:tc>
          <w:tcPr>
            <w:tcW w:w="2547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702FD155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</w:tr>
      <w:tr w14:paraId="7FEC1331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50" w:type="dxa"/>
            <w:shd w:val="clear" w:color="auto" w:fill="DBE5F1" w:themeFill="accent1" w:themeFillTint="33"/>
          </w:tcPr>
          <w:p w14:paraId="18161061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217F22E5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Custos Indiretos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256A73E0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Conforme valor pesquisado, será considerado a alíquota </w:t>
            </w:r>
            <w:r>
              <w:rPr>
                <w:rFonts w:cs="Arial" w:asciiTheme="minorHAnsi" w:hAnsiTheme="minorHAnsi"/>
                <w:b/>
              </w:rPr>
              <w:t>4,81%</w:t>
            </w:r>
          </w:p>
        </w:tc>
      </w:tr>
      <w:tr w14:paraId="6AA123D5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</w:tcPr>
          <w:p w14:paraId="1EA92F32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5B845652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Lucro</w:t>
            </w:r>
          </w:p>
        </w:tc>
        <w:tc>
          <w:tcPr>
            <w:tcW w:w="2547" w:type="dxa"/>
          </w:tcPr>
          <w:p w14:paraId="7EF07ABA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Conforme valor pesquisado, será considerado a alíquota 4,14</w:t>
            </w:r>
            <w:r>
              <w:rPr>
                <w:rFonts w:cs="Arial" w:asciiTheme="minorHAnsi" w:hAnsiTheme="minorHAnsi"/>
                <w:b/>
              </w:rPr>
              <w:t>%</w:t>
            </w:r>
          </w:p>
        </w:tc>
      </w:tr>
      <w:tr w14:paraId="672470FD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50" w:type="dxa"/>
            <w:shd w:val="clear" w:color="auto" w:fill="DBE5F1" w:themeFill="accent1" w:themeFillTint="33"/>
          </w:tcPr>
          <w:p w14:paraId="42E8A2B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71B7BF8A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Tributos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313C08A5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14:paraId="65748FC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</w:tcPr>
          <w:p w14:paraId="7C0F8BF3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B78D4A5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 xml:space="preserve">C.1. Tributos federais </w:t>
            </w:r>
          </w:p>
        </w:tc>
        <w:tc>
          <w:tcPr>
            <w:tcW w:w="2547" w:type="dxa"/>
          </w:tcPr>
          <w:p w14:paraId="6582C962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(PIS = 1,65% e COFINS = 7,65%)</w:t>
            </w:r>
          </w:p>
        </w:tc>
      </w:tr>
      <w:tr w14:paraId="6FBB3497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  <w:shd w:val="clear" w:color="auto" w:fill="DBE5F1" w:themeFill="accent1" w:themeFillTint="33"/>
          </w:tcPr>
          <w:p w14:paraId="43BD1465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47C442A1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C.2. Tributos estaduais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4F3CEF75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(ESPECIFICAR)</w:t>
            </w:r>
          </w:p>
        </w:tc>
      </w:tr>
      <w:tr w14:paraId="7F5BB9C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0" w:type="dxa"/>
          </w:tcPr>
          <w:p w14:paraId="7BDD83E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C1B440F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C.3 Tributos municipais</w:t>
            </w:r>
          </w:p>
        </w:tc>
        <w:tc>
          <w:tcPr>
            <w:tcW w:w="2547" w:type="dxa"/>
          </w:tcPr>
          <w:p w14:paraId="3D0EE45E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(ISS = 5,00%)</w:t>
            </w:r>
          </w:p>
        </w:tc>
      </w:tr>
      <w:tr w14:paraId="135764B8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shd w:val="clear" w:color="auto" w:fill="DBE5F1" w:themeFill="accent1" w:themeFillTint="33"/>
          </w:tcPr>
          <w:p w14:paraId="7CF3A42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29EDF68A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Total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2917DBC9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1ABFB140">
      <w:pPr>
        <w:rPr>
          <w:rFonts w:ascii="Calibri" w:hAnsi="Calibri" w:cs="Arial" w:eastAsiaTheme="minorHAnsi"/>
          <w:b/>
          <w:u w:val="single"/>
          <w:lang w:eastAsia="en-US"/>
        </w:rPr>
      </w:pPr>
    </w:p>
    <w:p w14:paraId="46FFA5E3">
      <w:pPr>
        <w:rPr>
          <w:rFonts w:ascii="Calibri" w:hAnsi="Calibri" w:cs="Arial" w:eastAsiaTheme="minorHAnsi"/>
          <w:lang w:eastAsia="en-US"/>
        </w:rPr>
      </w:pPr>
    </w:p>
    <w:p w14:paraId="588BD3CC">
      <w:pPr>
        <w:rPr>
          <w:rFonts w:ascii="Calibri" w:hAnsi="Calibri" w:cs="Arial" w:eastAsiaTheme="minorHAnsi"/>
          <w:b/>
          <w:u w:val="single"/>
          <w:lang w:eastAsia="en-US"/>
        </w:rPr>
      </w:pPr>
      <w:r>
        <w:rPr>
          <w:rFonts w:ascii="Calibri" w:hAnsi="Calibri" w:cs="Arial" w:eastAsiaTheme="minorHAnsi"/>
          <w:b/>
          <w:u w:val="single"/>
          <w:lang w:eastAsia="en-US"/>
        </w:rPr>
        <w:t xml:space="preserve">OBSERVAÇÕES: </w:t>
      </w:r>
    </w:p>
    <w:p w14:paraId="07492D41">
      <w:pPr>
        <w:rPr>
          <w:rFonts w:ascii="Calibri" w:hAnsi="Calibri" w:cs="Arial" w:eastAsiaTheme="minorHAnsi"/>
          <w:b/>
          <w:u w:val="single"/>
          <w:lang w:eastAsia="en-US"/>
        </w:rPr>
      </w:pPr>
    </w:p>
    <w:p w14:paraId="1D59B88F">
      <w:pPr>
        <w:numPr>
          <w:ilvl w:val="0"/>
          <w:numId w:val="1"/>
        </w:numPr>
        <w:rPr>
          <w:rFonts w:ascii="Calibri" w:hAnsi="Calibri" w:cs="Arial" w:eastAsiaTheme="minorHAnsi"/>
          <w:b/>
          <w:u w:val="single"/>
          <w:lang w:eastAsia="en-US"/>
        </w:rPr>
      </w:pPr>
      <w:r>
        <w:rPr>
          <w:rFonts w:ascii="Calibri" w:hAnsi="Calibri" w:cs="Arial" w:eastAsiaTheme="minorHAnsi"/>
          <w:b/>
          <w:u w:val="single"/>
          <w:lang w:eastAsia="en-US"/>
        </w:rPr>
        <w:t>Caso a empresa utilize o regime tributário do lucro presumido, alterar as alíquotas de PIS e COFINS.</w:t>
      </w:r>
    </w:p>
    <w:p w14:paraId="160A044B">
      <w:pPr>
        <w:rPr>
          <w:rFonts w:ascii="Calibri" w:hAnsi="Calibri" w:cs="Arial" w:eastAsiaTheme="minorHAnsi"/>
          <w:b/>
          <w:u w:val="single"/>
          <w:lang w:eastAsia="en-US"/>
        </w:rPr>
      </w:pPr>
    </w:p>
    <w:p w14:paraId="19536985">
      <w:pPr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</w:p>
    <w:p w14:paraId="3003D69A">
      <w:pPr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  <w:r>
        <w:rPr>
          <w:rFonts w:ascii="Calibri" w:hAnsi="Calibri" w:cs="Arial" w:eastAsiaTheme="minorHAnsi"/>
          <w:sz w:val="22"/>
          <w:szCs w:val="22"/>
          <w:lang w:eastAsia="en-US"/>
        </w:rPr>
        <w:t>Para fins de estimativa, os percentuais médios de lucro e custos indiretos foram baseados nos valores praticados nas planilhas de custos por empresas do mesmo ramo de atuação.</w:t>
      </w:r>
    </w:p>
    <w:p w14:paraId="1E4CB022">
      <w:pPr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</w:p>
    <w:p w14:paraId="7F0DC830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  <w:u w:val="single"/>
        </w:rPr>
      </w:pPr>
      <w:r>
        <w:rPr>
          <w:rFonts w:cs="Arial" w:asciiTheme="minorHAnsi" w:hAnsiTheme="minorHAnsi"/>
          <w:b/>
          <w:sz w:val="22"/>
          <w:szCs w:val="22"/>
          <w:u w:val="single"/>
        </w:rPr>
        <w:t>CÁLCULO CUSTOS INDIRETOS:</w:t>
      </w:r>
    </w:p>
    <w:p w14:paraId="4EC5D059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>Cálculo: (Módulo 1 + Módulo 2 + Módulo 3 + Módulo 4 + Módulo 5) x % custos indiretos (média praticada pelas empresas do setor)</w:t>
      </w:r>
    </w:p>
    <w:p w14:paraId="15D6CA5D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0762E3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Proposta 1 (Pregão Eletrônico 90036/2025 – UASG 150182) – Sanatto = 4,80% </w:t>
      </w:r>
    </w:p>
    <w:p w14:paraId="77C981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Proposta 2 (Pregão Eletrônico 90001/2025 – UASG 150182) – Soluções = 5,50% </w:t>
      </w:r>
    </w:p>
    <w:p w14:paraId="086A3ED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Proposta 3 (Pregão Eletrônico 90013/2025 – UASG 150182) – Spectru = 4,14% </w:t>
      </w:r>
    </w:p>
    <w:p w14:paraId="78CE22E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Média = 4,81%</w:t>
      </w:r>
    </w:p>
    <w:p w14:paraId="31FC9F61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171DF1C1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  <w:u w:val="single"/>
        </w:rPr>
      </w:pPr>
      <w:r>
        <w:rPr>
          <w:rFonts w:cs="Arial" w:asciiTheme="minorHAnsi" w:hAnsiTheme="minorHAnsi"/>
          <w:b/>
          <w:sz w:val="22"/>
          <w:szCs w:val="22"/>
          <w:u w:val="single"/>
        </w:rPr>
        <w:t>CÁLCULO LUCRO:</w:t>
      </w:r>
    </w:p>
    <w:p w14:paraId="72D03A13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3950D740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>Cálculo: (Módulo 1 + Módulo 2 + Módulo 3 + Módulo 4 + Módulo 5 + Módulo 6-A) x % lucro (média praticada pelas empresas do setor)</w:t>
      </w:r>
    </w:p>
    <w:p w14:paraId="6D5E7EE6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1EE9812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34141943"/>
      <w:r>
        <w:rPr>
          <w:rFonts w:asciiTheme="minorHAnsi" w:hAnsiTheme="minorHAnsi" w:cstheme="minorHAnsi"/>
          <w:sz w:val="22"/>
          <w:szCs w:val="22"/>
        </w:rPr>
        <w:t xml:space="preserve">Proposta 1 (Pregão Eletrônico 90036/2025 – UASG 150182) – Sanatto = 3,92% </w:t>
      </w:r>
    </w:p>
    <w:p w14:paraId="7F0CC37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Proposta 2 (Pregão Eletrônico 90001/2025 – UASG 150182) – Soluções = 5,15% </w:t>
      </w:r>
    </w:p>
    <w:p w14:paraId="27B336D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Proposta 3 (Pregão Eletrônico 90013/2025 – UASG 150182) – Spectru = 3,37% </w:t>
      </w:r>
    </w:p>
    <w:p w14:paraId="793AB14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Média = 4,14%</w:t>
      </w:r>
    </w:p>
    <w:p w14:paraId="36D1FA0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7267A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bookmarkEnd w:id="0"/>
    <w:p w14:paraId="2FFECAC8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5CB62A14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  <w:u w:val="single"/>
        </w:rPr>
      </w:pPr>
      <w:r>
        <w:rPr>
          <w:rFonts w:cs="Arial" w:asciiTheme="minorHAnsi" w:hAnsiTheme="minorHAnsi"/>
          <w:b/>
          <w:sz w:val="22"/>
          <w:szCs w:val="22"/>
          <w:u w:val="single"/>
        </w:rPr>
        <w:t>CÁLCULO TRIBUTOS:</w:t>
      </w:r>
    </w:p>
    <w:p w14:paraId="53792FC9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6B2B08C9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 xml:space="preserve">Os tributos são calculados sobre o </w:t>
      </w:r>
      <w:r>
        <w:rPr>
          <w:rFonts w:cs="Arial" w:asciiTheme="minorHAnsi" w:hAnsiTheme="minorHAnsi"/>
          <w:b/>
          <w:bCs/>
          <w:iCs/>
          <w:sz w:val="22"/>
          <w:szCs w:val="22"/>
          <w:u w:val="single"/>
        </w:rPr>
        <w:t>faturamento</w:t>
      </w:r>
      <w:r>
        <w:rPr>
          <w:rFonts w:cs="Arial" w:asciiTheme="minorHAnsi" w:hAnsiTheme="minorHAnsi"/>
          <w:iCs/>
          <w:sz w:val="22"/>
          <w:szCs w:val="22"/>
        </w:rPr>
        <w:t>.</w:t>
      </w:r>
    </w:p>
    <w:p w14:paraId="6CFCEDE5">
      <w:pPr>
        <w:jc w:val="both"/>
        <w:rPr>
          <w:rFonts w:cs="Arial" w:asciiTheme="minorHAnsi" w:hAnsiTheme="minorHAnsi"/>
          <w:iCs/>
          <w:sz w:val="22"/>
          <w:szCs w:val="22"/>
        </w:rPr>
      </w:pPr>
    </w:p>
    <w:p w14:paraId="3E3F532B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 xml:space="preserve">O faturamento corresponderá ao somatório dos </w:t>
      </w:r>
      <w:r>
        <w:rPr>
          <w:rFonts w:cs="Arial" w:asciiTheme="minorHAnsi" w:hAnsiTheme="minorHAnsi"/>
          <w:b/>
          <w:bCs/>
          <w:iCs/>
          <w:sz w:val="22"/>
          <w:szCs w:val="22"/>
          <w:u w:val="single"/>
        </w:rPr>
        <w:t>módulos 1 a 5 + Custos Indiretos + Lucro</w:t>
      </w:r>
      <w:r>
        <w:rPr>
          <w:rFonts w:cs="Arial" w:asciiTheme="minorHAnsi" w:hAnsiTheme="minorHAnsi"/>
          <w:iCs/>
          <w:sz w:val="22"/>
          <w:szCs w:val="22"/>
        </w:rPr>
        <w:t>.</w:t>
      </w:r>
    </w:p>
    <w:p w14:paraId="1E665E88">
      <w:pPr>
        <w:jc w:val="both"/>
        <w:rPr>
          <w:rFonts w:cs="Arial" w:asciiTheme="minorHAnsi" w:hAnsiTheme="minorHAnsi"/>
          <w:iCs/>
          <w:sz w:val="22"/>
          <w:szCs w:val="22"/>
        </w:rPr>
      </w:pPr>
    </w:p>
    <w:p w14:paraId="58454CF0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 xml:space="preserve">Tendo em vista que os próprios tributos integram a base de cálculo, utiliza-se um tipo de fórmula denominada “circular”, chamada </w:t>
      </w:r>
      <w:r>
        <w:rPr>
          <w:rFonts w:cs="Arial" w:asciiTheme="minorHAnsi" w:hAnsiTheme="minorHAnsi"/>
          <w:b/>
          <w:bCs/>
          <w:iCs/>
          <w:sz w:val="22"/>
          <w:szCs w:val="22"/>
          <w:u w:val="single"/>
        </w:rPr>
        <w:t>cálculo por dentro</w:t>
      </w:r>
      <w:r>
        <w:rPr>
          <w:rFonts w:cs="Arial" w:asciiTheme="minorHAnsi" w:hAnsiTheme="minorHAnsi"/>
          <w:iCs/>
          <w:sz w:val="22"/>
          <w:szCs w:val="22"/>
        </w:rPr>
        <w:t xml:space="preserve">: </w:t>
      </w:r>
    </w:p>
    <w:p w14:paraId="75A5829A">
      <w:pPr>
        <w:jc w:val="both"/>
        <w:rPr>
          <w:rFonts w:cs="Arial" w:asciiTheme="minorHAnsi" w:hAnsiTheme="minorHAnsi"/>
          <w:iCs/>
          <w:sz w:val="22"/>
          <w:szCs w:val="22"/>
        </w:rPr>
      </w:pPr>
    </w:p>
    <w:p w14:paraId="699051F7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 xml:space="preserve">1º) Somar os tributos (PIS+COFINS+ISS) = 1,65% + 7,60% + 5% = </w:t>
      </w:r>
      <w:r>
        <w:rPr>
          <w:rFonts w:cs="Arial" w:asciiTheme="minorHAnsi" w:hAnsiTheme="minorHAnsi"/>
          <w:b/>
          <w:bCs/>
          <w:iCs/>
          <w:sz w:val="22"/>
          <w:szCs w:val="22"/>
        </w:rPr>
        <w:t>14,25 (total dos tributos)</w:t>
      </w:r>
    </w:p>
    <w:p w14:paraId="60A57307">
      <w:pPr>
        <w:jc w:val="both"/>
        <w:rPr>
          <w:rFonts w:cs="Arial" w:asciiTheme="minorHAnsi" w:hAnsiTheme="minorHAnsi"/>
          <w:b/>
          <w:bCs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 xml:space="preserve">2º )Subtrair o resultado de 100 e dividi-lo por 100 = (100-14,25)/100 = </w:t>
      </w:r>
      <w:r>
        <w:rPr>
          <w:rFonts w:cs="Arial" w:asciiTheme="minorHAnsi" w:hAnsiTheme="minorHAnsi"/>
          <w:b/>
          <w:bCs/>
          <w:iCs/>
          <w:sz w:val="22"/>
          <w:szCs w:val="22"/>
        </w:rPr>
        <w:t>0,8575</w:t>
      </w:r>
    </w:p>
    <w:p w14:paraId="463ACEE0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>3º ) Dividir 0,8575 pelo faturamento</w:t>
      </w:r>
    </w:p>
    <w:p w14:paraId="591F4077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>4º) Desse resultado, aplicou-se individualmente os percentuais de cada um dos tributos</w:t>
      </w:r>
    </w:p>
    <w:p w14:paraId="1EF8EDF3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>5º) Somar os resultados = Total dos tributos</w:t>
      </w:r>
    </w:p>
    <w:p w14:paraId="4ECD3926">
      <w:pPr>
        <w:jc w:val="both"/>
        <w:rPr>
          <w:rFonts w:cs="Arial" w:asciiTheme="minorHAnsi" w:hAnsiTheme="minorHAnsi"/>
          <w:iCs/>
          <w:sz w:val="22"/>
          <w:szCs w:val="22"/>
        </w:rPr>
      </w:pPr>
    </w:p>
    <w:p w14:paraId="321657A6">
      <w:pPr>
        <w:jc w:val="both"/>
        <w:rPr>
          <w:rFonts w:cs="Arial" w:asciiTheme="minorHAnsi" w:hAnsiTheme="minorHAnsi"/>
          <w:iCs/>
          <w:sz w:val="22"/>
          <w:szCs w:val="22"/>
        </w:rPr>
      </w:pPr>
      <w:r>
        <w:rPr>
          <w:rFonts w:cs="Arial" w:asciiTheme="minorHAnsi" w:hAnsiTheme="minorHAnsi"/>
          <w:iCs/>
          <w:sz w:val="22"/>
          <w:szCs w:val="22"/>
        </w:rPr>
        <w:t xml:space="preserve">Memória de Cálculo: </w:t>
      </w:r>
      <w:r>
        <w:rPr>
          <w:rFonts w:cs="Arial" w:asciiTheme="minorHAnsi" w:hAnsiTheme="minorHAnsi"/>
          <w:b/>
          <w:bCs/>
          <w:iCs/>
          <w:sz w:val="22"/>
          <w:szCs w:val="22"/>
        </w:rPr>
        <w:t>Tributos: PIS-COFINS-ISS</w:t>
      </w:r>
    </w:p>
    <w:p w14:paraId="1E2D43EA">
      <w:pPr>
        <w:jc w:val="center"/>
        <w:rPr>
          <w:rFonts w:ascii="Calibri" w:hAnsi="Calibri" w:cs="Arial" w:eastAsiaTheme="minorHAnsi"/>
          <w:b/>
          <w:sz w:val="22"/>
          <w:szCs w:val="22"/>
          <w:lang w:eastAsia="en-US"/>
        </w:rPr>
      </w:pPr>
    </w:p>
    <w:p w14:paraId="49931BDC">
      <w:pPr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</w:p>
    <w:p w14:paraId="2BA09513">
      <w:pPr>
        <w:spacing w:line="276" w:lineRule="auto"/>
        <w:jc w:val="both"/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</w:pPr>
      <w:r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  <w:t>Tributação</w:t>
      </w:r>
    </w:p>
    <w:p w14:paraId="4A83BEB0">
      <w:pPr>
        <w:spacing w:line="276" w:lineRule="auto"/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</w:p>
    <w:p w14:paraId="3B373609">
      <w:pPr>
        <w:spacing w:line="276" w:lineRule="auto"/>
        <w:jc w:val="both"/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>Os tributos (ISS, COFINS e PIS) foram definidos utilizando o regime de tributação de Lucro REAL e PRESUMIDO, e a licitante deve elaborar sua proposta e, por conseguinte, sua planilha com base no regime de tributação ao qual estará submetido durante a execução do contrato.</w:t>
      </w:r>
    </w:p>
    <w:p w14:paraId="5020D7C7">
      <w:pPr>
        <w:spacing w:line="276" w:lineRule="auto"/>
        <w:jc w:val="both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1702C556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O ISSQN está sendo cotado conforme a legislação do município de Niterói onde serão prestados os serviços. Os tributos IRPJ e CSLL deixaram de constar na planilha </w:t>
      </w:r>
      <w:r>
        <w:rPr>
          <w:rFonts w:cs="Arial" w:asciiTheme="minorHAnsi" w:hAnsiTheme="minorHAnsi"/>
          <w:b/>
          <w:sz w:val="22"/>
          <w:szCs w:val="22"/>
        </w:rPr>
        <w:t>para a empresa que optar pelo regime tributário de LUCRO REAL ou PRESUMIDO</w:t>
      </w:r>
      <w:r>
        <w:rPr>
          <w:rFonts w:cs="Arial" w:asciiTheme="minorHAnsi" w:hAnsiTheme="minorHAnsi"/>
          <w:sz w:val="22"/>
          <w:szCs w:val="22"/>
        </w:rPr>
        <w:t xml:space="preserve">, </w:t>
      </w:r>
      <w:r>
        <w:rPr>
          <w:rFonts w:cs="Arial" w:asciiTheme="minorHAnsi" w:hAnsiTheme="minorHAnsi"/>
          <w:b/>
          <w:sz w:val="22"/>
          <w:szCs w:val="22"/>
        </w:rPr>
        <w:t>já que estão contidos no lucro bruto apresentado na proposta</w:t>
      </w:r>
      <w:r>
        <w:rPr>
          <w:rFonts w:cs="Arial" w:asciiTheme="minorHAnsi" w:hAnsiTheme="minorHAnsi"/>
          <w:sz w:val="22"/>
          <w:szCs w:val="22"/>
        </w:rPr>
        <w:t xml:space="preserve"> e em virtude da determinação contida na Súmula do TCU nº 254, Acórdão TCU nº 1591/2008 – Plenário, Acórdão TCU nº 264/2012 – Plenário e Informativo  de Jurisprudência TCU nº 279.</w:t>
      </w:r>
    </w:p>
    <w:p w14:paraId="60593820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</w:rPr>
      </w:pPr>
    </w:p>
    <w:p w14:paraId="59CB1331">
      <w:pPr>
        <w:shd w:val="clear" w:color="auto" w:fill="FFFFFF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>O preço ofertado pelos licitantes deve ser comprovadamente suficiente para cumprir suas obrigações legais, sociais e </w:t>
      </w:r>
      <w:r>
        <w:rPr>
          <w:rFonts w:cs="Arial" w:asciiTheme="minorHAnsi" w:hAnsiTheme="minorHAnsi"/>
          <w:b/>
          <w:bCs/>
          <w:sz w:val="22"/>
          <w:szCs w:val="22"/>
          <w:u w:val="single"/>
        </w:rPr>
        <w:t>tributárias.</w:t>
      </w:r>
      <w:r>
        <w:rPr>
          <w:rFonts w:cs="Arial" w:asciiTheme="minorHAnsi" w:hAnsiTheme="minorHAnsi"/>
          <w:b/>
          <w:bCs/>
          <w:sz w:val="22"/>
          <w:szCs w:val="22"/>
        </w:rPr>
        <w:t> O estado não pode contratar quem apresentar PCFP que demonstre que a contratação ensejará operar em prejuízo. Este é o conceito de inexequibilidade previsto no subitem 9.2 do Anexo VII-A da IN 05/2017 da SEGES/MP.</w:t>
      </w:r>
    </w:p>
    <w:p w14:paraId="5EAC2A65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0DE35E9A">
      <w:pPr>
        <w:shd w:val="clear" w:color="auto" w:fill="FFFFFF"/>
        <w:spacing w:line="276" w:lineRule="auto"/>
        <w:rPr>
          <w:rFonts w:ascii="Calibri" w:hAnsi="Calibri" w:eastAsia="Lucida Sans Unicode"/>
          <w:kern w:val="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 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A LICITANTE deverá </w:t>
      </w:r>
      <w:r>
        <w:rPr>
          <w:rFonts w:ascii="Calibri" w:hAnsi="Calibri" w:eastAsia="Lucida Sans Unicode"/>
          <w:b/>
          <w:kern w:val="2"/>
          <w:sz w:val="22"/>
          <w:szCs w:val="22"/>
        </w:rPr>
        <w:t>comprovar, por meio de documentação hábil (DCTF, GFIP, EFD etc), a opção aos regimes acima elencados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, a fim de que se possa </w:t>
      </w:r>
      <w:r>
        <w:rPr>
          <w:rFonts w:ascii="Calibri" w:hAnsi="Calibri" w:eastAsia="Lucida Sans Unicode"/>
          <w:b/>
          <w:kern w:val="2"/>
          <w:sz w:val="22"/>
          <w:szCs w:val="22"/>
        </w:rPr>
        <w:t>certificar que as alíquotas do PIS e da COFINS e da Contribuição Social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</w:t>
      </w:r>
      <w:r>
        <w:rPr>
          <w:rFonts w:ascii="Calibri" w:hAnsi="Calibri" w:eastAsia="Lucida Sans Unicode"/>
          <w:b/>
          <w:kern w:val="2"/>
          <w:sz w:val="22"/>
          <w:szCs w:val="22"/>
        </w:rPr>
        <w:t>consignadas na planilha conferem com sua opção tributária</w:t>
      </w:r>
      <w:r>
        <w:rPr>
          <w:rFonts w:ascii="Calibri" w:hAnsi="Calibri" w:eastAsia="Lucida Sans Unicode"/>
          <w:kern w:val="2"/>
          <w:sz w:val="22"/>
          <w:szCs w:val="22"/>
        </w:rPr>
        <w:t>.</w:t>
      </w:r>
    </w:p>
    <w:p w14:paraId="66B101B9">
      <w:pPr>
        <w:widowControl w:val="0"/>
        <w:tabs>
          <w:tab w:val="left" w:pos="1560"/>
        </w:tabs>
        <w:spacing w:line="276" w:lineRule="auto"/>
        <w:ind w:left="1224"/>
        <w:jc w:val="both"/>
        <w:rPr>
          <w:rFonts w:ascii="Calibri" w:hAnsi="Calibri" w:eastAsia="Lucida Sans Unicode"/>
          <w:kern w:val="2"/>
          <w:sz w:val="22"/>
          <w:szCs w:val="22"/>
        </w:rPr>
      </w:pPr>
    </w:p>
    <w:p w14:paraId="2F9C16DC">
      <w:pPr>
        <w:widowControl w:val="0"/>
        <w:tabs>
          <w:tab w:val="left" w:pos="1560"/>
        </w:tabs>
        <w:spacing w:line="276" w:lineRule="auto"/>
        <w:jc w:val="both"/>
        <w:rPr>
          <w:rFonts w:ascii="Calibri" w:hAnsi="Calibri" w:eastAsia="Lucida Sans Unicode"/>
          <w:kern w:val="2"/>
          <w:sz w:val="22"/>
          <w:szCs w:val="22"/>
        </w:rPr>
      </w:pPr>
      <w:r>
        <w:rPr>
          <w:rFonts w:ascii="Calibri" w:hAnsi="Calibri" w:eastAsia="Lucida Sans Unicode"/>
          <w:kern w:val="2"/>
          <w:sz w:val="22"/>
          <w:szCs w:val="22"/>
        </w:rPr>
        <w:t xml:space="preserve">As </w:t>
      </w:r>
      <w:r>
        <w:rPr>
          <w:rFonts w:ascii="Calibri" w:hAnsi="Calibri" w:eastAsia="Lucida Sans Unicode"/>
          <w:b/>
          <w:kern w:val="2"/>
          <w:sz w:val="22"/>
          <w:szCs w:val="22"/>
        </w:rPr>
        <w:t>empresas tributadas pelo regime de incidência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</w:t>
      </w:r>
      <w:r>
        <w:rPr>
          <w:rFonts w:ascii="Calibri" w:hAnsi="Calibri" w:eastAsia="Lucida Sans Unicode"/>
          <w:b/>
          <w:kern w:val="2"/>
          <w:sz w:val="22"/>
          <w:szCs w:val="22"/>
          <w:u w:val="single"/>
        </w:rPr>
        <w:t>não-cumulativa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de </w:t>
      </w:r>
      <w:r>
        <w:rPr>
          <w:rFonts w:ascii="Calibri" w:hAnsi="Calibri" w:eastAsia="Lucida Sans Unicode"/>
          <w:b/>
          <w:kern w:val="2"/>
          <w:sz w:val="22"/>
          <w:szCs w:val="22"/>
        </w:rPr>
        <w:t>PIS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e </w:t>
      </w:r>
      <w:r>
        <w:rPr>
          <w:rFonts w:ascii="Calibri" w:hAnsi="Calibri" w:eastAsia="Lucida Sans Unicode"/>
          <w:b/>
          <w:kern w:val="2"/>
          <w:sz w:val="22"/>
          <w:szCs w:val="22"/>
        </w:rPr>
        <w:t>COFINS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devem cotar </w:t>
      </w:r>
      <w:r>
        <w:rPr>
          <w:rFonts w:ascii="Calibri" w:hAnsi="Calibri" w:eastAsia="Lucida Sans Unicode"/>
          <w:b/>
          <w:kern w:val="2"/>
          <w:sz w:val="22"/>
          <w:szCs w:val="22"/>
          <w:u w:val="single"/>
        </w:rPr>
        <w:t>os percentuais que representem a média das alíquotas efetivamente recolhidas nos 12 (doze) meses anteriores à apresentação da proposta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, tendo em vista que as Leis 10.637/2002 e 10.833/2003, apurada com base nos dados da </w:t>
      </w:r>
      <w:r>
        <w:rPr>
          <w:rFonts w:ascii="Calibri" w:hAnsi="Calibri" w:eastAsia="Lucida Sans Unicode"/>
          <w:b/>
          <w:kern w:val="2"/>
          <w:sz w:val="22"/>
          <w:szCs w:val="22"/>
        </w:rPr>
        <w:t>Escrituração Fiscal Digital da Contribuição para o PIS/PASEP e para a COFINS (EFD-Contribuições)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, cujos respectivos </w:t>
      </w:r>
      <w:r>
        <w:rPr>
          <w:rFonts w:ascii="Calibri" w:hAnsi="Calibri" w:eastAsia="Lucida Sans Unicode"/>
          <w:b/>
          <w:kern w:val="2"/>
          <w:sz w:val="22"/>
          <w:szCs w:val="22"/>
          <w:u w:val="single"/>
        </w:rPr>
        <w:t>registros deverão ser remetidos juntamente com a proposta e as planilhas</w:t>
      </w:r>
      <w:r>
        <w:rPr>
          <w:rFonts w:ascii="Calibri" w:hAnsi="Calibri" w:eastAsia="Lucida Sans Unicode"/>
          <w:kern w:val="2"/>
          <w:sz w:val="22"/>
          <w:szCs w:val="22"/>
        </w:rPr>
        <w:t>.</w:t>
      </w:r>
    </w:p>
    <w:p w14:paraId="1225CB0B">
      <w:pPr>
        <w:widowControl w:val="0"/>
        <w:spacing w:line="276" w:lineRule="auto"/>
        <w:ind w:left="708"/>
        <w:rPr>
          <w:rFonts w:ascii="Calibri" w:hAnsi="Calibri" w:eastAsia="Lucida Sans Unicode"/>
          <w:kern w:val="2"/>
          <w:sz w:val="22"/>
          <w:szCs w:val="22"/>
        </w:rPr>
      </w:pPr>
    </w:p>
    <w:p w14:paraId="4EEB25A9">
      <w:pPr>
        <w:widowControl w:val="0"/>
        <w:tabs>
          <w:tab w:val="left" w:pos="1560"/>
        </w:tabs>
        <w:spacing w:line="276" w:lineRule="auto"/>
        <w:jc w:val="both"/>
      </w:pPr>
      <w:r>
        <w:rPr>
          <w:rFonts w:ascii="Calibri" w:hAnsi="Calibri" w:eastAsia="Lucida Sans Unicode"/>
          <w:kern w:val="2"/>
          <w:sz w:val="22"/>
          <w:szCs w:val="22"/>
        </w:rPr>
        <w:t xml:space="preserve">Caso a LICITANTE tenha </w:t>
      </w:r>
      <w:r>
        <w:rPr>
          <w:rFonts w:ascii="Calibri" w:hAnsi="Calibri" w:eastAsia="Lucida Sans Unicode"/>
          <w:b/>
          <w:kern w:val="2"/>
          <w:sz w:val="22"/>
          <w:szCs w:val="22"/>
        </w:rPr>
        <w:t>recolhido tributos pelo regime de incidência não-cumulativa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em apenas </w:t>
      </w:r>
      <w:r>
        <w:rPr>
          <w:rFonts w:ascii="Calibri" w:hAnsi="Calibri" w:eastAsia="Lucida Sans Unicode"/>
          <w:b/>
          <w:kern w:val="2"/>
          <w:sz w:val="22"/>
          <w:szCs w:val="22"/>
        </w:rPr>
        <w:t>alguns meses do período que deve ser considerado para o cálculo do percentual médio efetivo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(12 meses anteriores à data da proposta), poderá apresentar o cálculo </w:t>
      </w:r>
      <w:r>
        <w:rPr>
          <w:rFonts w:ascii="Calibri" w:hAnsi="Calibri" w:eastAsia="Lucida Sans Unicode"/>
          <w:b/>
          <w:kern w:val="2"/>
          <w:sz w:val="22"/>
          <w:szCs w:val="22"/>
        </w:rPr>
        <w:t>considerando apenas os meses em que houve recolhimento</w:t>
      </w:r>
      <w:r>
        <w:rPr>
          <w:rFonts w:ascii="Calibri" w:hAnsi="Calibri" w:eastAsia="Lucida Sans Unicode"/>
          <w:kern w:val="2"/>
          <w:sz w:val="22"/>
          <w:szCs w:val="22"/>
        </w:rPr>
        <w:t>.</w:t>
      </w:r>
    </w:p>
    <w:sectPr>
      <w:headerReference r:id="rId3" w:type="default"/>
      <w:footerReference r:id="rId4" w:type="default"/>
      <w:pgSz w:w="11906" w:h="16838"/>
      <w:pgMar w:top="1417" w:right="1274" w:bottom="1417" w:left="1418" w:header="708" w:footer="306" w:gutter="0"/>
      <w:pgBorders w:offsetFrom="page">
        <w:top w:val="single" w:color="000000" w:sz="18" w:space="24"/>
        <w:left w:val="single" w:color="000000" w:sz="18" w:space="24"/>
        <w:bottom w:val="single" w:color="000000" w:sz="18" w:space="24"/>
        <w:right w:val="single" w:color="000000" w:sz="18" w:space="24"/>
      </w:pgBorders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iberation Sans">
    <w:altName w:val="Segoe Print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DA9FA">
    <w:pPr>
      <w:pStyle w:val="23"/>
    </w:pPr>
    <w:r>
      <w:t>____________________________________________________________________</w:t>
    </w:r>
  </w:p>
  <w:p w14:paraId="525ED25B">
    <w:pPr>
      <w:pStyle w:val="23"/>
      <w:jc w:val="center"/>
      <w:rPr>
        <w:i/>
      </w:rPr>
    </w:pPr>
    <w:r>
      <w:rPr>
        <w:sz w:val="12"/>
        <w:szCs w:val="12"/>
      </w:rPr>
      <w:t>Anexo X Memória de Cálculo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4"/>
        <w:rFonts w:ascii="Verdana" w:hAnsi="Verdana" w:eastAsia="MS Gothic"/>
        <w:sz w:val="16"/>
        <w:szCs w:val="16"/>
      </w:rPr>
      <w:t>1/10</w:t>
    </w:r>
  </w:p>
  <w:p w14:paraId="1AB8D48A">
    <w:pPr>
      <w:pStyle w:val="23"/>
      <w:rPr>
        <w:sz w:val="12"/>
        <w:szCs w:val="12"/>
      </w:rPr>
    </w:pPr>
  </w:p>
  <w:p w14:paraId="3FBE5FB1"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E03C6">
    <w:pPr>
      <w:pStyle w:val="21"/>
      <w:jc w:val="right"/>
    </w:pPr>
    <w:r>
      <w:drawing>
        <wp:anchor distT="0" distB="0" distL="0" distR="0" simplePos="0" relativeHeight="251662336" behindDoc="1" locked="0" layoutInCell="1" allowOverlap="1">
          <wp:simplePos x="0" y="0"/>
          <wp:positionH relativeFrom="column">
            <wp:posOffset>-305435</wp:posOffset>
          </wp:positionH>
          <wp:positionV relativeFrom="paragraph">
            <wp:posOffset>-57150</wp:posOffset>
          </wp:positionV>
          <wp:extent cx="838200" cy="333375"/>
          <wp:effectExtent l="0" t="0" r="0" b="0"/>
          <wp:wrapNone/>
          <wp:docPr id="12" name="Imagem 2" descr="BRASAO UFF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2" descr="BRASAO UFF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8200" cy="333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/>
        <w:sz w:val="16"/>
        <w:szCs w:val="16"/>
      </w:rPr>
      <w:t>Processo: 23069.164350/2026-51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C7191B"/>
    <w:multiLevelType w:val="singleLevel"/>
    <w:tmpl w:val="26C7191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1D"/>
    <w:rsid w:val="00022464"/>
    <w:rsid w:val="00025F14"/>
    <w:rsid w:val="00062EE7"/>
    <w:rsid w:val="000647C5"/>
    <w:rsid w:val="0007091C"/>
    <w:rsid w:val="00081D06"/>
    <w:rsid w:val="00083DB0"/>
    <w:rsid w:val="000904BD"/>
    <w:rsid w:val="00096953"/>
    <w:rsid w:val="000D4F19"/>
    <w:rsid w:val="000D7E4A"/>
    <w:rsid w:val="000E60C1"/>
    <w:rsid w:val="00100793"/>
    <w:rsid w:val="00127394"/>
    <w:rsid w:val="0013021D"/>
    <w:rsid w:val="00131DDA"/>
    <w:rsid w:val="001338D9"/>
    <w:rsid w:val="00133CD1"/>
    <w:rsid w:val="00140BBD"/>
    <w:rsid w:val="0014616A"/>
    <w:rsid w:val="00150365"/>
    <w:rsid w:val="001518A3"/>
    <w:rsid w:val="00156A99"/>
    <w:rsid w:val="001776C1"/>
    <w:rsid w:val="0019718E"/>
    <w:rsid w:val="001B1E44"/>
    <w:rsid w:val="001D0DA4"/>
    <w:rsid w:val="001E1541"/>
    <w:rsid w:val="00200BEE"/>
    <w:rsid w:val="002100BD"/>
    <w:rsid w:val="00215289"/>
    <w:rsid w:val="0022215B"/>
    <w:rsid w:val="00222366"/>
    <w:rsid w:val="00233184"/>
    <w:rsid w:val="00240C8D"/>
    <w:rsid w:val="00241E06"/>
    <w:rsid w:val="00260F71"/>
    <w:rsid w:val="00262EB7"/>
    <w:rsid w:val="00290AF9"/>
    <w:rsid w:val="00292F9F"/>
    <w:rsid w:val="00296321"/>
    <w:rsid w:val="002B5411"/>
    <w:rsid w:val="002E31AA"/>
    <w:rsid w:val="002F73F4"/>
    <w:rsid w:val="0030151E"/>
    <w:rsid w:val="0030302C"/>
    <w:rsid w:val="003150FF"/>
    <w:rsid w:val="00327BF6"/>
    <w:rsid w:val="003339BA"/>
    <w:rsid w:val="00351CCA"/>
    <w:rsid w:val="0035251D"/>
    <w:rsid w:val="00363E9E"/>
    <w:rsid w:val="0036420B"/>
    <w:rsid w:val="00365204"/>
    <w:rsid w:val="00380B50"/>
    <w:rsid w:val="00381031"/>
    <w:rsid w:val="00382F6B"/>
    <w:rsid w:val="00383723"/>
    <w:rsid w:val="003858BC"/>
    <w:rsid w:val="003B2BEE"/>
    <w:rsid w:val="003D0495"/>
    <w:rsid w:val="003D2A1B"/>
    <w:rsid w:val="003D7132"/>
    <w:rsid w:val="003E2244"/>
    <w:rsid w:val="003F496D"/>
    <w:rsid w:val="003F53BE"/>
    <w:rsid w:val="004020FD"/>
    <w:rsid w:val="00404D1C"/>
    <w:rsid w:val="00425FD6"/>
    <w:rsid w:val="004340DD"/>
    <w:rsid w:val="0043494E"/>
    <w:rsid w:val="00442149"/>
    <w:rsid w:val="00456CA1"/>
    <w:rsid w:val="00460EF0"/>
    <w:rsid w:val="004706D0"/>
    <w:rsid w:val="0047132A"/>
    <w:rsid w:val="00481D1C"/>
    <w:rsid w:val="004933EB"/>
    <w:rsid w:val="0049788E"/>
    <w:rsid w:val="004A4856"/>
    <w:rsid w:val="004B4712"/>
    <w:rsid w:val="004C5329"/>
    <w:rsid w:val="004C5C4B"/>
    <w:rsid w:val="004D3DBC"/>
    <w:rsid w:val="004D4C2F"/>
    <w:rsid w:val="004E1415"/>
    <w:rsid w:val="004E1728"/>
    <w:rsid w:val="004E5031"/>
    <w:rsid w:val="00502670"/>
    <w:rsid w:val="00515DDC"/>
    <w:rsid w:val="00533A42"/>
    <w:rsid w:val="00566F55"/>
    <w:rsid w:val="00572950"/>
    <w:rsid w:val="00583F13"/>
    <w:rsid w:val="0059356D"/>
    <w:rsid w:val="00595236"/>
    <w:rsid w:val="005B72D0"/>
    <w:rsid w:val="005E5BE8"/>
    <w:rsid w:val="00604B58"/>
    <w:rsid w:val="0060694C"/>
    <w:rsid w:val="00612DE8"/>
    <w:rsid w:val="0061341E"/>
    <w:rsid w:val="00643118"/>
    <w:rsid w:val="00664443"/>
    <w:rsid w:val="00674915"/>
    <w:rsid w:val="00675CD9"/>
    <w:rsid w:val="006927ED"/>
    <w:rsid w:val="00694321"/>
    <w:rsid w:val="0069552F"/>
    <w:rsid w:val="00695D13"/>
    <w:rsid w:val="006962AF"/>
    <w:rsid w:val="006A1B35"/>
    <w:rsid w:val="006A24B4"/>
    <w:rsid w:val="006A4173"/>
    <w:rsid w:val="006A5225"/>
    <w:rsid w:val="006B073D"/>
    <w:rsid w:val="006B19C8"/>
    <w:rsid w:val="006B1E82"/>
    <w:rsid w:val="006B3F03"/>
    <w:rsid w:val="006B75C2"/>
    <w:rsid w:val="006C0732"/>
    <w:rsid w:val="006F4C05"/>
    <w:rsid w:val="006F50E0"/>
    <w:rsid w:val="00710621"/>
    <w:rsid w:val="00714503"/>
    <w:rsid w:val="00720009"/>
    <w:rsid w:val="007217B8"/>
    <w:rsid w:val="00757BF8"/>
    <w:rsid w:val="00760403"/>
    <w:rsid w:val="0076112C"/>
    <w:rsid w:val="0076401A"/>
    <w:rsid w:val="007643DE"/>
    <w:rsid w:val="00786D92"/>
    <w:rsid w:val="00791490"/>
    <w:rsid w:val="00796933"/>
    <w:rsid w:val="007B0AD0"/>
    <w:rsid w:val="007B0D3B"/>
    <w:rsid w:val="007B1961"/>
    <w:rsid w:val="007B23CA"/>
    <w:rsid w:val="007C0B40"/>
    <w:rsid w:val="007C31B8"/>
    <w:rsid w:val="007C5E16"/>
    <w:rsid w:val="007D0BF1"/>
    <w:rsid w:val="007D5DDC"/>
    <w:rsid w:val="007F4CE0"/>
    <w:rsid w:val="007F7BA5"/>
    <w:rsid w:val="0080509C"/>
    <w:rsid w:val="0081045C"/>
    <w:rsid w:val="00864661"/>
    <w:rsid w:val="00876481"/>
    <w:rsid w:val="00880459"/>
    <w:rsid w:val="008862D8"/>
    <w:rsid w:val="008A6FF3"/>
    <w:rsid w:val="008B36E0"/>
    <w:rsid w:val="008B6503"/>
    <w:rsid w:val="008C1B2B"/>
    <w:rsid w:val="008D647E"/>
    <w:rsid w:val="008E4FD3"/>
    <w:rsid w:val="008F098C"/>
    <w:rsid w:val="008F2E62"/>
    <w:rsid w:val="009143CE"/>
    <w:rsid w:val="00944B26"/>
    <w:rsid w:val="00951E7B"/>
    <w:rsid w:val="00956D58"/>
    <w:rsid w:val="009660B4"/>
    <w:rsid w:val="00966765"/>
    <w:rsid w:val="009869D5"/>
    <w:rsid w:val="00A076CD"/>
    <w:rsid w:val="00A11B58"/>
    <w:rsid w:val="00A34AB3"/>
    <w:rsid w:val="00A531F5"/>
    <w:rsid w:val="00A5736E"/>
    <w:rsid w:val="00A657B5"/>
    <w:rsid w:val="00A71BB4"/>
    <w:rsid w:val="00A777DD"/>
    <w:rsid w:val="00A85A33"/>
    <w:rsid w:val="00AA205C"/>
    <w:rsid w:val="00AA3D68"/>
    <w:rsid w:val="00AA68C0"/>
    <w:rsid w:val="00AC0E06"/>
    <w:rsid w:val="00AC0F0D"/>
    <w:rsid w:val="00AD06CA"/>
    <w:rsid w:val="00AD242D"/>
    <w:rsid w:val="00B14366"/>
    <w:rsid w:val="00B602FA"/>
    <w:rsid w:val="00B73F23"/>
    <w:rsid w:val="00B778BF"/>
    <w:rsid w:val="00B807D1"/>
    <w:rsid w:val="00BC1110"/>
    <w:rsid w:val="00BD0E8C"/>
    <w:rsid w:val="00BE1D75"/>
    <w:rsid w:val="00BF05FF"/>
    <w:rsid w:val="00C53AD7"/>
    <w:rsid w:val="00C57E60"/>
    <w:rsid w:val="00C609DB"/>
    <w:rsid w:val="00C60C1C"/>
    <w:rsid w:val="00C651C8"/>
    <w:rsid w:val="00C85F08"/>
    <w:rsid w:val="00C86FD7"/>
    <w:rsid w:val="00C90D31"/>
    <w:rsid w:val="00CB6253"/>
    <w:rsid w:val="00CC4061"/>
    <w:rsid w:val="00CD5693"/>
    <w:rsid w:val="00CE38FA"/>
    <w:rsid w:val="00CF30B1"/>
    <w:rsid w:val="00D010D1"/>
    <w:rsid w:val="00D225F3"/>
    <w:rsid w:val="00D312FD"/>
    <w:rsid w:val="00D6032B"/>
    <w:rsid w:val="00D66379"/>
    <w:rsid w:val="00D66F17"/>
    <w:rsid w:val="00D91DD1"/>
    <w:rsid w:val="00DA53E7"/>
    <w:rsid w:val="00DB2328"/>
    <w:rsid w:val="00DE434C"/>
    <w:rsid w:val="00E1260A"/>
    <w:rsid w:val="00E16A83"/>
    <w:rsid w:val="00E25932"/>
    <w:rsid w:val="00E25FDD"/>
    <w:rsid w:val="00E354DA"/>
    <w:rsid w:val="00E40030"/>
    <w:rsid w:val="00E403E6"/>
    <w:rsid w:val="00E427F8"/>
    <w:rsid w:val="00E477A6"/>
    <w:rsid w:val="00E82A5D"/>
    <w:rsid w:val="00E941AC"/>
    <w:rsid w:val="00E97BDA"/>
    <w:rsid w:val="00EB64F6"/>
    <w:rsid w:val="00EC705B"/>
    <w:rsid w:val="00EE06F5"/>
    <w:rsid w:val="00EE6BB7"/>
    <w:rsid w:val="00EF182A"/>
    <w:rsid w:val="00F02E97"/>
    <w:rsid w:val="00F12D01"/>
    <w:rsid w:val="00F136AD"/>
    <w:rsid w:val="00F14725"/>
    <w:rsid w:val="00F53F52"/>
    <w:rsid w:val="00F57D43"/>
    <w:rsid w:val="00F6782F"/>
    <w:rsid w:val="00F7074E"/>
    <w:rsid w:val="00F77BB2"/>
    <w:rsid w:val="00F92087"/>
    <w:rsid w:val="00F94D2F"/>
    <w:rsid w:val="260B7CB8"/>
    <w:rsid w:val="2A4E63D4"/>
    <w:rsid w:val="33997744"/>
    <w:rsid w:val="43603A4D"/>
    <w:rsid w:val="7130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pt-BR" w:eastAsia="pt-BR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4">
    <w:name w:val="heading 3"/>
    <w:basedOn w:val="1"/>
    <w:next w:val="1"/>
    <w:link w:val="74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paragraph" w:styleId="5">
    <w:name w:val="heading 4"/>
    <w:basedOn w:val="1"/>
    <w:next w:val="1"/>
    <w:link w:val="38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7"/>
    <w:basedOn w:val="1"/>
    <w:next w:val="1"/>
    <w:link w:val="29"/>
    <w:qFormat/>
    <w:uiPriority w:val="0"/>
    <w:pPr>
      <w:keepNext/>
      <w:jc w:val="center"/>
      <w:outlineLvl w:val="6"/>
    </w:pPr>
    <w:rPr>
      <w:rFonts w:ascii="Arial" w:hAnsi="Arial"/>
      <w:b/>
      <w:sz w:val="28"/>
      <w:u w:val="single"/>
      <w:lang w:val="pt-PT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7"/>
    <w:qFormat/>
    <w:uiPriority w:val="22"/>
    <w:rPr>
      <w:b/>
      <w:bCs/>
    </w:rPr>
  </w:style>
  <w:style w:type="character" w:styleId="10">
    <w:name w:val="annotation reference"/>
    <w:basedOn w:val="7"/>
    <w:semiHidden/>
    <w:unhideWhenUsed/>
    <w:qFormat/>
    <w:uiPriority w:val="99"/>
    <w:rPr>
      <w:sz w:val="16"/>
      <w:szCs w:val="16"/>
    </w:rPr>
  </w:style>
  <w:style w:type="character" w:styleId="11">
    <w:name w:val="FollowedHyperlink"/>
    <w:basedOn w:val="7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7"/>
    <w:qFormat/>
    <w:uiPriority w:val="20"/>
    <w:rPr>
      <w:i/>
      <w:iCs/>
    </w:rPr>
  </w:style>
  <w:style w:type="character" w:styleId="13">
    <w:name w:val="Hyperlink"/>
    <w:basedOn w:val="7"/>
    <w:unhideWhenUsed/>
    <w:qFormat/>
    <w:uiPriority w:val="99"/>
    <w:rPr>
      <w:color w:val="0000FF"/>
      <w:u w:val="single"/>
    </w:rPr>
  </w:style>
  <w:style w:type="character" w:styleId="14">
    <w:name w:val="page number"/>
    <w:qFormat/>
    <w:uiPriority w:val="0"/>
  </w:style>
  <w:style w:type="paragraph" w:styleId="15">
    <w:name w:val="List"/>
    <w:basedOn w:val="16"/>
    <w:qFormat/>
    <w:uiPriority w:val="0"/>
    <w:rPr>
      <w:rFonts w:cs="Arial"/>
    </w:rPr>
  </w:style>
  <w:style w:type="paragraph" w:styleId="16">
    <w:name w:val="Body Text"/>
    <w:basedOn w:val="1"/>
    <w:qFormat/>
    <w:uiPriority w:val="0"/>
    <w:pPr>
      <w:spacing w:after="140" w:line="276" w:lineRule="auto"/>
    </w:pPr>
  </w:style>
  <w:style w:type="paragraph" w:styleId="17">
    <w:name w:val="annotation text"/>
    <w:basedOn w:val="1"/>
    <w:link w:val="41"/>
    <w:semiHidden/>
    <w:unhideWhenUsed/>
    <w:qFormat/>
    <w:uiPriority w:val="99"/>
  </w:style>
  <w:style w:type="paragraph" w:styleId="18">
    <w:name w:val="Body Text Indent 2"/>
    <w:basedOn w:val="1"/>
    <w:link w:val="31"/>
    <w:qFormat/>
    <w:uiPriority w:val="0"/>
    <w:pPr>
      <w:ind w:left="3686"/>
      <w:jc w:val="both"/>
    </w:pPr>
    <w:rPr>
      <w:rFonts w:ascii="Arial" w:hAnsi="Arial"/>
      <w:b/>
    </w:rPr>
  </w:style>
  <w:style w:type="paragraph" w:styleId="19">
    <w:name w:val="Title"/>
    <w:basedOn w:val="1"/>
    <w:next w:val="16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</w:pPr>
    <w:rPr>
      <w:sz w:val="24"/>
      <w:szCs w:val="24"/>
    </w:rPr>
  </w:style>
  <w:style w:type="paragraph" w:styleId="21">
    <w:name w:val="header"/>
    <w:basedOn w:val="1"/>
    <w:link w:val="33"/>
    <w:unhideWhenUsed/>
    <w:uiPriority w:val="99"/>
    <w:pPr>
      <w:tabs>
        <w:tab w:val="center" w:pos="4252"/>
        <w:tab w:val="right" w:pos="8504"/>
      </w:tabs>
    </w:pPr>
  </w:style>
  <w:style w:type="paragraph" w:styleId="22">
    <w:name w:val="annotation subject"/>
    <w:basedOn w:val="17"/>
    <w:next w:val="17"/>
    <w:link w:val="42"/>
    <w:semiHidden/>
    <w:unhideWhenUsed/>
    <w:qFormat/>
    <w:uiPriority w:val="99"/>
    <w:rPr>
      <w:b/>
      <w:bCs/>
    </w:rPr>
  </w:style>
  <w:style w:type="paragraph" w:styleId="23">
    <w:name w:val="footer"/>
    <w:basedOn w:val="1"/>
    <w:link w:val="34"/>
    <w:unhideWhenUsed/>
    <w:qFormat/>
    <w:uiPriority w:val="99"/>
    <w:pPr>
      <w:tabs>
        <w:tab w:val="center" w:pos="4252"/>
        <w:tab w:val="right" w:pos="8504"/>
      </w:tabs>
    </w:pPr>
  </w:style>
  <w:style w:type="paragraph" w:styleId="24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5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26">
    <w:name w:val="footnote text"/>
    <w:basedOn w:val="1"/>
    <w:link w:val="47"/>
    <w:semiHidden/>
    <w:unhideWhenUsed/>
    <w:uiPriority w:val="99"/>
  </w:style>
  <w:style w:type="paragraph" w:styleId="27">
    <w:name w:val="Body Text Indent"/>
    <w:basedOn w:val="1"/>
    <w:link w:val="30"/>
    <w:uiPriority w:val="0"/>
    <w:pPr>
      <w:ind w:left="426" w:hanging="426"/>
    </w:pPr>
  </w:style>
  <w:style w:type="table" w:styleId="28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">
    <w:name w:val="Título 7 Char"/>
    <w:basedOn w:val="7"/>
    <w:link w:val="6"/>
    <w:qFormat/>
    <w:uiPriority w:val="0"/>
    <w:rPr>
      <w:rFonts w:ascii="Arial" w:hAnsi="Arial" w:eastAsia="Times New Roman" w:cs="Times New Roman"/>
      <w:b/>
      <w:sz w:val="28"/>
      <w:szCs w:val="20"/>
      <w:u w:val="single"/>
      <w:lang w:val="pt-PT"/>
    </w:rPr>
  </w:style>
  <w:style w:type="character" w:customStyle="1" w:styleId="30">
    <w:name w:val="Recuo de corpo de texto Char"/>
    <w:basedOn w:val="7"/>
    <w:link w:val="27"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31">
    <w:name w:val="Recuo de corpo de texto 2 Char"/>
    <w:basedOn w:val="7"/>
    <w:link w:val="18"/>
    <w:qFormat/>
    <w:uiPriority w:val="0"/>
    <w:rPr>
      <w:rFonts w:ascii="Arial" w:hAnsi="Arial" w:eastAsia="Times New Roman" w:cs="Times New Roman"/>
      <w:b/>
      <w:sz w:val="20"/>
      <w:szCs w:val="20"/>
    </w:rPr>
  </w:style>
  <w:style w:type="character" w:customStyle="1" w:styleId="32">
    <w:name w:val="Texto de balão Char"/>
    <w:basedOn w:val="7"/>
    <w:link w:val="25"/>
    <w:semiHidden/>
    <w:qFormat/>
    <w:uiPriority w:val="99"/>
    <w:rPr>
      <w:rFonts w:ascii="Tahoma" w:hAnsi="Tahoma" w:eastAsia="Times New Roman" w:cs="Tahoma"/>
      <w:sz w:val="16"/>
      <w:szCs w:val="16"/>
      <w:lang w:eastAsia="pt-BR"/>
    </w:rPr>
  </w:style>
  <w:style w:type="character" w:customStyle="1" w:styleId="33">
    <w:name w:val="Cabeçalho Char"/>
    <w:basedOn w:val="7"/>
    <w:link w:val="21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34">
    <w:name w:val="Rodapé Char"/>
    <w:basedOn w:val="7"/>
    <w:link w:val="23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35">
    <w:name w:val="Título 1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pt-BR"/>
    </w:rPr>
  </w:style>
  <w:style w:type="character" w:customStyle="1" w:styleId="36">
    <w:name w:val="Fonte parág. padrão6"/>
    <w:qFormat/>
    <w:uiPriority w:val="0"/>
  </w:style>
  <w:style w:type="character" w:customStyle="1" w:styleId="37">
    <w:name w:val="Título 2 Char"/>
    <w:basedOn w:val="7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eastAsia="pt-BR"/>
    </w:rPr>
  </w:style>
  <w:style w:type="character" w:customStyle="1" w:styleId="38">
    <w:name w:val="Título 4 Char"/>
    <w:basedOn w:val="7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376092" w:themeColor="accent1" w:themeShade="BF"/>
      <w:sz w:val="20"/>
      <w:szCs w:val="20"/>
      <w:lang w:eastAsia="pt-BR"/>
    </w:rPr>
  </w:style>
  <w:style w:type="character" w:customStyle="1" w:styleId="39">
    <w:name w:val="Link da Internet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40">
    <w:name w:val="qtip-link"/>
    <w:basedOn w:val="7"/>
    <w:qFormat/>
    <w:uiPriority w:val="0"/>
  </w:style>
  <w:style w:type="character" w:customStyle="1" w:styleId="41">
    <w:name w:val="Texto de comentário Char"/>
    <w:basedOn w:val="7"/>
    <w:link w:val="17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2">
    <w:name w:val="Assunto do comentário Char"/>
    <w:basedOn w:val="41"/>
    <w:link w:val="2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customStyle="1" w:styleId="43">
    <w:name w:val="m_7892110431564642023ttulo2char"/>
    <w:basedOn w:val="7"/>
    <w:qFormat/>
    <w:uiPriority w:val="0"/>
  </w:style>
  <w:style w:type="character" w:customStyle="1" w:styleId="44">
    <w:name w:val="WW8Num5z3"/>
    <w:qFormat/>
    <w:uiPriority w:val="0"/>
    <w:rPr>
      <w:rFonts w:ascii="Symbol" w:hAnsi="Symbol" w:cs="Symbol"/>
    </w:rPr>
  </w:style>
  <w:style w:type="character" w:customStyle="1" w:styleId="45">
    <w:name w:val="WW8Num5z4"/>
    <w:qFormat/>
    <w:uiPriority w:val="0"/>
    <w:rPr>
      <w:rFonts w:ascii="Courier New" w:hAnsi="Courier New" w:cs="Courier New"/>
    </w:rPr>
  </w:style>
  <w:style w:type="character" w:customStyle="1" w:styleId="46">
    <w:name w:val="WW8Num6z0"/>
    <w:qFormat/>
    <w:uiPriority w:val="0"/>
    <w:rPr>
      <w:rFonts w:ascii="Times New Roman" w:hAnsi="Times New Roman" w:cs="Times New Roman"/>
    </w:rPr>
  </w:style>
  <w:style w:type="character" w:customStyle="1" w:styleId="47">
    <w:name w:val="Texto de nota de rodapé Char"/>
    <w:basedOn w:val="7"/>
    <w:link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8">
    <w:name w:val="Âncora da nota de rodapé"/>
    <w:uiPriority w:val="0"/>
    <w:rPr>
      <w:vertAlign w:val="superscript"/>
    </w:rPr>
  </w:style>
  <w:style w:type="character" w:customStyle="1" w:styleId="49">
    <w:name w:val="Footnote Characters"/>
    <w:basedOn w:val="7"/>
    <w:semiHidden/>
    <w:unhideWhenUsed/>
    <w:qFormat/>
    <w:uiPriority w:val="99"/>
    <w:rPr>
      <w:vertAlign w:val="superscript"/>
    </w:rPr>
  </w:style>
  <w:style w:type="character" w:customStyle="1" w:styleId="50">
    <w:name w:val="Caracteres de nota de rodapé"/>
    <w:qFormat/>
    <w:uiPriority w:val="0"/>
  </w:style>
  <w:style w:type="character" w:customStyle="1" w:styleId="51">
    <w:name w:val="Âncora da nota de fim"/>
    <w:uiPriority w:val="0"/>
    <w:rPr>
      <w:vertAlign w:val="superscript"/>
    </w:rPr>
  </w:style>
  <w:style w:type="character" w:customStyle="1" w:styleId="52">
    <w:name w:val="Caracteres de nota de fim"/>
    <w:qFormat/>
    <w:uiPriority w:val="0"/>
  </w:style>
  <w:style w:type="paragraph" w:customStyle="1" w:styleId="53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54">
    <w:name w:val="ParaPrinc"/>
    <w:basedOn w:val="1"/>
    <w:qFormat/>
    <w:uiPriority w:val="0"/>
    <w:pPr>
      <w:widowControl w:val="0"/>
      <w:snapToGrid w:val="0"/>
      <w:jc w:val="both"/>
    </w:pPr>
    <w:rPr>
      <w:rFonts w:ascii="Book Antiqua" w:hAnsi="Book Antiqua"/>
      <w:sz w:val="24"/>
      <w:lang w:val="en-AU"/>
    </w:rPr>
  </w:style>
  <w:style w:type="paragraph" w:customStyle="1" w:styleId="55">
    <w:name w:val="Default"/>
    <w:qFormat/>
    <w:uiPriority w:val="0"/>
    <w:rPr>
      <w:rFonts w:ascii="Arial" w:hAnsi="Arial" w:eastAsia="Times New Roman" w:cs="Arial"/>
      <w:color w:val="000000"/>
      <w:sz w:val="24"/>
      <w:szCs w:val="24"/>
      <w:lang w:val="pt-BR" w:eastAsia="pt-BR" w:bidi="ar-SA"/>
    </w:rPr>
  </w:style>
  <w:style w:type="paragraph" w:customStyle="1" w:styleId="56">
    <w:name w:val="WW-Recuo de corpo de texto 2"/>
    <w:basedOn w:val="1"/>
    <w:qFormat/>
    <w:uiPriority w:val="0"/>
    <w:pPr>
      <w:suppressAutoHyphens/>
      <w:ind w:firstLine="708"/>
      <w:jc w:val="both"/>
    </w:pPr>
    <w:rPr>
      <w:b/>
    </w:rPr>
  </w:style>
  <w:style w:type="paragraph" w:customStyle="1" w:styleId="57">
    <w:name w:val="Contrato"/>
    <w:basedOn w:val="1"/>
    <w:qFormat/>
    <w:uiPriority w:val="0"/>
    <w:pPr>
      <w:spacing w:after="240"/>
      <w:jc w:val="both"/>
    </w:pPr>
    <w:rPr>
      <w:sz w:val="24"/>
    </w:rPr>
  </w:style>
  <w:style w:type="paragraph" w:customStyle="1" w:styleId="58">
    <w:name w:val="Cabeçalho e Rodapé"/>
    <w:basedOn w:val="1"/>
    <w:qFormat/>
    <w:uiPriority w:val="0"/>
  </w:style>
  <w:style w:type="paragraph" w:styleId="59">
    <w:name w:val="List Paragraph"/>
    <w:basedOn w:val="1"/>
    <w:qFormat/>
    <w:uiPriority w:val="34"/>
    <w:pPr>
      <w:ind w:left="720"/>
      <w:contextualSpacing/>
    </w:pPr>
  </w:style>
  <w:style w:type="paragraph" w:customStyle="1" w:styleId="60">
    <w:name w:val="Parágrafo da Lista1"/>
    <w:basedOn w:val="1"/>
    <w:qFormat/>
    <w:uiPriority w:val="0"/>
    <w:pPr>
      <w:widowControl w:val="0"/>
      <w:suppressAutoHyphens/>
      <w:textAlignment w:val="baseline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customStyle="1" w:styleId="61">
    <w:name w:val="_A010165"/>
    <w:qFormat/>
    <w:uiPriority w:val="0"/>
    <w:pPr>
      <w:tabs>
        <w:tab w:val="left" w:pos="937"/>
      </w:tabs>
      <w:suppressAutoHyphens/>
      <w:jc w:val="both"/>
    </w:pPr>
    <w:rPr>
      <w:rFonts w:ascii="Arial" w:hAnsi="Arial" w:eastAsia="Times New Roman" w:cs="Times New Roman"/>
      <w:color w:val="000000"/>
      <w:lang w:val="pt-BR" w:eastAsia="ar-SA" w:bidi="ar-SA"/>
    </w:rPr>
  </w:style>
  <w:style w:type="paragraph" w:customStyle="1" w:styleId="62">
    <w:name w:val="Table Paragraph"/>
    <w:basedOn w:val="1"/>
    <w:qFormat/>
    <w:uiPriority w:val="1"/>
    <w:pPr>
      <w:widowControl w:val="0"/>
      <w:ind w:left="103"/>
    </w:pPr>
    <w:rPr>
      <w:sz w:val="22"/>
      <w:szCs w:val="22"/>
      <w:lang w:val="en-US" w:eastAsia="en-US"/>
    </w:rPr>
  </w:style>
  <w:style w:type="paragraph" w:customStyle="1" w:styleId="63">
    <w:name w:val="rtejustify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4">
    <w:name w:val="rtecenter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5">
    <w:name w:val="rteindent1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6">
    <w:name w:val="texto_justificado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7">
    <w:name w:val="Conteúdo do quadro"/>
    <w:basedOn w:val="1"/>
    <w:qFormat/>
    <w:uiPriority w:val="0"/>
  </w:style>
  <w:style w:type="table" w:customStyle="1" w:styleId="68">
    <w:name w:val="Tabela de Grade 4 - Ênfase 31"/>
    <w:basedOn w:val="8"/>
    <w:uiPriority w:val="49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69">
    <w:name w:val="Tabela de Lista 3 - Ênfase 31"/>
    <w:basedOn w:val="8"/>
    <w:uiPriority w:val="48"/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70">
    <w:name w:val="Tabela de Grade 6 Colorida - Ênfase 31"/>
    <w:basedOn w:val="8"/>
    <w:qFormat/>
    <w:uiPriority w:val="51"/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71">
    <w:name w:val="Tabela de Grade 4 - Ênfase 11"/>
    <w:basedOn w:val="8"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72">
    <w:name w:val="Tabela de Grade 4 - Ênfase 12"/>
    <w:basedOn w:val="8"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character" w:customStyle="1" w:styleId="73">
    <w:name w:val="Menção Pendente1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74">
    <w:name w:val="Título 3 Char"/>
    <w:basedOn w:val="7"/>
    <w:link w:val="4"/>
    <w:semiHidden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4D733A-D005-4F7B-8526-FBAE27407E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452</Words>
  <Characters>2476</Characters>
  <Lines>140</Lines>
  <Paragraphs>39</Paragraphs>
  <TotalTime>99</TotalTime>
  <ScaleCrop>false</ScaleCrop>
  <LinksUpToDate>false</LinksUpToDate>
  <CharactersWithSpaces>2898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2026-05-06T02:58:00Z</dcterms:created>
  <dc:creator>bteixeira</dc:creator>
  <cp:lastModifiedBy>Juliana Borsoi</cp:lastModifiedBy>
  <cp:lastPrinted>2026-05-04T23:25:00Z</cp:lastPrinted>
  <dcterms:modified xsi:type="dcterms:W3CDTF">2026-05-06T20:08:24Z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1046-12.1.0.25242</vt:lpwstr>
  </property>
  <property fmtid="{D5CDD505-2E9C-101B-9397-08002B2CF9AE}" pid="9" name="ICV">
    <vt:lpwstr>3A7CE6374BAD468A81F23B4D044CFC01_13</vt:lpwstr>
  </property>
  <property fmtid="{D5CDD505-2E9C-101B-9397-08002B2CF9AE}" pid="10" name="KSOTemplateDocerSaveRecord">
    <vt:lpwstr>eyJoZGlkIjoiMWI4YjJjZTUzNGNlYTQyODI4ZTEyNDRhODcyM2Y3ZDEiLCJ1c2VySWQiOiIxMjU0NDI4NTk3NjUwIn0=</vt:lpwstr>
  </property>
</Properties>
</file>